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1127A1">
      <w:pPr>
        <w:ind w:right="-766"/>
        <w:jc w:val="center"/>
        <w:rPr>
          <w:b/>
          <w:lang w:val="lv-LV"/>
        </w:rPr>
      </w:pPr>
      <w:r>
        <w:rPr>
          <w:b/>
          <w:bCs/>
          <w:lang w:val="lv-LV"/>
        </w:rPr>
        <w:t>"</w:t>
      </w:r>
      <w:r w:rsidR="004506DB" w:rsidRPr="008E4264">
        <w:rPr>
          <w:rFonts w:eastAsia="Calibri"/>
          <w:b/>
          <w:lang w:val="lv-LV"/>
        </w:rPr>
        <w:t>Dušas telpu remonts Latvijas ieslodzījuma vietās</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4506DB">
        <w:rPr>
          <w:bCs/>
          <w:lang w:val="lv-LV"/>
        </w:rPr>
        <w:t>9</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4506DB">
        <w:rPr>
          <w:lang w:val="lv-LV"/>
        </w:rPr>
        <w:t xml:space="preserve">     </w:t>
      </w:r>
      <w:r>
        <w:rPr>
          <w:lang w:val="lv-LV"/>
        </w:rPr>
        <w:t>201</w:t>
      </w:r>
      <w:r w:rsidR="009403E1">
        <w:rPr>
          <w:lang w:val="lv-LV"/>
        </w:rPr>
        <w:t>8</w:t>
      </w:r>
      <w:r w:rsidR="00533037">
        <w:rPr>
          <w:lang w:val="lv-LV"/>
        </w:rPr>
        <w:t>.</w:t>
      </w:r>
      <w:r w:rsidR="00565544">
        <w:rPr>
          <w:lang w:val="lv-LV"/>
        </w:rPr>
        <w:t xml:space="preserve"> </w:t>
      </w:r>
      <w:r w:rsidR="00FB7E03">
        <w:rPr>
          <w:lang w:val="lv-LV"/>
        </w:rPr>
        <w:t>gada 29. martā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4506DB">
        <w:rPr>
          <w:bCs/>
          <w:lang w:val="lv-LV"/>
        </w:rPr>
        <w:t>9</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4506DB" w:rsidRPr="004506DB">
        <w:rPr>
          <w:rFonts w:ascii="Times New Roman" w:hAnsi="Times New Roman" w:cs="Times New Roman"/>
          <w:sz w:val="24"/>
          <w:szCs w:val="24"/>
        </w:rPr>
        <w:t>Dušas telpu remonts Latvijas ieslodzījuma vietās</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4506DB">
        <w:rPr>
          <w:lang w:val="lv-LV"/>
        </w:rPr>
        <w:t>2</w:t>
      </w:r>
      <w:r>
        <w:rPr>
          <w:lang w:val="lv-LV"/>
        </w:rPr>
        <w:t>.</w:t>
      </w:r>
      <w:r w:rsidR="004506DB">
        <w:rPr>
          <w:lang w:val="lv-LV"/>
        </w:rPr>
        <w:t xml:space="preserve"> febru</w:t>
      </w:r>
      <w:r w:rsidR="009403E1">
        <w:rPr>
          <w:lang w:val="lv-LV"/>
        </w:rPr>
        <w:t>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speciāliste virsleitnante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daļas vecākā referente virsleitnante Una Zvaigzne</w:t>
      </w:r>
    </w:p>
    <w:p w:rsidR="009403E1" w:rsidRPr="009403E1" w:rsidRDefault="009403E1" w:rsidP="009403E1">
      <w:pPr>
        <w:ind w:right="-766"/>
        <w:jc w:val="both"/>
        <w:rPr>
          <w:rFonts w:eastAsia="Calibri"/>
          <w:noProof/>
          <w:lang w:val="lv-LV"/>
        </w:rPr>
      </w:pPr>
      <w:r w:rsidRPr="009403E1">
        <w:rPr>
          <w:rFonts w:eastAsia="Calibri"/>
          <w:noProof/>
          <w:lang w:val="lv-LV"/>
        </w:rPr>
        <w:t xml:space="preserve">Pārvaldes centrālā aparāta Uzraudzības daļas galvenais inspektors majors Madars Vekmanis </w:t>
      </w:r>
    </w:p>
    <w:p w:rsidR="009403E1" w:rsidRPr="009403E1" w:rsidRDefault="004506DB" w:rsidP="009403E1">
      <w:pPr>
        <w:ind w:right="-283"/>
        <w:jc w:val="both"/>
        <w:rPr>
          <w:rFonts w:asciiTheme="minorHAnsi" w:eastAsiaTheme="minorHAnsi" w:hAnsiTheme="minorHAnsi" w:cstheme="minorBidi"/>
          <w:noProof/>
          <w:sz w:val="22"/>
          <w:szCs w:val="22"/>
          <w:lang w:val="de-DE"/>
        </w:rPr>
      </w:pPr>
      <w:r w:rsidRPr="0018770B">
        <w:rPr>
          <w:lang w:val="de-DE"/>
        </w:rPr>
        <w:t>Pārvaldes centrālā aparāta Apsardzes daļas galvenais inspektors majors Vadims Petruhins</w:t>
      </w:r>
      <w:r w:rsidR="009403E1"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4506DB">
        <w:rPr>
          <w:b/>
          <w:lang w:val="lv-LV"/>
        </w:rPr>
        <w:t>9</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4506DB" w:rsidRPr="004506DB" w:rsidTr="007830DB">
        <w:trPr>
          <w:trHeight w:val="535"/>
        </w:trPr>
        <w:tc>
          <w:tcPr>
            <w:tcW w:w="2014" w:type="dxa"/>
            <w:vAlign w:val="center"/>
          </w:tcPr>
          <w:p w:rsidR="004506DB" w:rsidRPr="004506DB" w:rsidRDefault="004506DB" w:rsidP="004506DB">
            <w:pPr>
              <w:jc w:val="center"/>
              <w:rPr>
                <w:lang w:val="lv-LV"/>
              </w:rPr>
            </w:pPr>
            <w:r w:rsidRPr="004506DB">
              <w:rPr>
                <w:lang w:val="lv-LV"/>
              </w:rPr>
              <w:t>Nolikuma apakšpunkta Nr.</w:t>
            </w:r>
          </w:p>
        </w:tc>
        <w:tc>
          <w:tcPr>
            <w:tcW w:w="7229" w:type="dxa"/>
            <w:vAlign w:val="center"/>
          </w:tcPr>
          <w:p w:rsidR="004506DB" w:rsidRPr="004506DB" w:rsidRDefault="004506DB" w:rsidP="004506DB">
            <w:pPr>
              <w:jc w:val="center"/>
              <w:rPr>
                <w:lang w:val="lv-LV"/>
              </w:rPr>
            </w:pPr>
            <w:r w:rsidRPr="004506DB">
              <w:rPr>
                <w:lang w:val="lv-LV"/>
              </w:rPr>
              <w:t xml:space="preserve">Nolikuma prasības </w:t>
            </w:r>
          </w:p>
        </w:tc>
      </w:tr>
      <w:tr w:rsidR="004506DB" w:rsidRPr="004506DB" w:rsidTr="007830DB">
        <w:trPr>
          <w:trHeight w:val="599"/>
        </w:trPr>
        <w:tc>
          <w:tcPr>
            <w:tcW w:w="2014" w:type="dxa"/>
            <w:vAlign w:val="center"/>
          </w:tcPr>
          <w:p w:rsidR="004506DB" w:rsidRPr="004506DB" w:rsidRDefault="004506DB" w:rsidP="004506DB">
            <w:pPr>
              <w:jc w:val="center"/>
              <w:rPr>
                <w:lang w:val="lv-LV"/>
              </w:rPr>
            </w:pPr>
            <w:r w:rsidRPr="004506DB">
              <w:rPr>
                <w:lang w:val="lv-LV"/>
              </w:rPr>
              <w:t>4.1.1.</w:t>
            </w:r>
          </w:p>
        </w:tc>
        <w:tc>
          <w:tcPr>
            <w:tcW w:w="7229" w:type="dxa"/>
            <w:vAlign w:val="center"/>
          </w:tcPr>
          <w:p w:rsidR="004506DB" w:rsidRPr="004506DB" w:rsidRDefault="004506DB" w:rsidP="004506DB">
            <w:pPr>
              <w:jc w:val="both"/>
              <w:rPr>
                <w:lang w:val="lv-LV"/>
              </w:rPr>
            </w:pPr>
            <w:r w:rsidRPr="004506DB">
              <w:rPr>
                <w:rFonts w:eastAsia="Calibri"/>
                <w:lang w:val="lv-LV"/>
              </w:rPr>
              <w:t xml:space="preserve">būvkomersanta reģistrācijas apliecības </w:t>
            </w:r>
            <w:r w:rsidRPr="004506DB">
              <w:rPr>
                <w:rFonts w:eastAsia="Calibri"/>
                <w:b/>
                <w:lang w:val="lv-LV"/>
              </w:rPr>
              <w:t>kopija</w:t>
            </w:r>
            <w:r w:rsidRPr="004506DB">
              <w:rPr>
                <w:rFonts w:eastAsia="Calibri"/>
                <w:lang w:val="lv-LV"/>
              </w:rPr>
              <w:t xml:space="preserve"> un </w:t>
            </w:r>
            <w:r w:rsidRPr="004506DB">
              <w:rPr>
                <w:rFonts w:eastAsia="Calibri"/>
                <w:b/>
                <w:lang w:val="lv-LV"/>
              </w:rPr>
              <w:t>apliecinājums</w:t>
            </w:r>
            <w:r w:rsidRPr="004506DB">
              <w:rPr>
                <w:rFonts w:eastAsia="Calibri"/>
                <w:lang w:val="lv-LV"/>
              </w:rPr>
              <w:t>, ka pretendents nav izslēgts no būvkomersanta reģistra</w:t>
            </w:r>
            <w:r w:rsidRPr="004506DB">
              <w:rPr>
                <w:bCs/>
                <w:lang w:val="lv-LV"/>
              </w:rPr>
              <w:t>.</w:t>
            </w:r>
          </w:p>
        </w:tc>
      </w:tr>
      <w:tr w:rsidR="004506DB" w:rsidRPr="00FB7E03" w:rsidTr="007830DB">
        <w:trPr>
          <w:trHeight w:val="599"/>
        </w:trPr>
        <w:tc>
          <w:tcPr>
            <w:tcW w:w="2014" w:type="dxa"/>
            <w:vAlign w:val="center"/>
          </w:tcPr>
          <w:p w:rsidR="004506DB" w:rsidRPr="004506DB" w:rsidRDefault="004506DB" w:rsidP="004506DB">
            <w:pPr>
              <w:jc w:val="center"/>
              <w:rPr>
                <w:lang w:val="lv-LV"/>
              </w:rPr>
            </w:pPr>
            <w:r w:rsidRPr="004506DB">
              <w:rPr>
                <w:lang w:val="lv-LV"/>
              </w:rPr>
              <w:t>4.1.2.</w:t>
            </w:r>
          </w:p>
        </w:tc>
        <w:tc>
          <w:tcPr>
            <w:tcW w:w="7229" w:type="dxa"/>
            <w:vAlign w:val="center"/>
          </w:tcPr>
          <w:p w:rsidR="004506DB" w:rsidRPr="004506DB" w:rsidRDefault="004506DB" w:rsidP="004506DB">
            <w:pPr>
              <w:ind w:right="34"/>
              <w:jc w:val="both"/>
              <w:rPr>
                <w:lang w:val="lv-LV"/>
              </w:rPr>
            </w:pPr>
            <w:r w:rsidRPr="004506DB">
              <w:rPr>
                <w:rFonts w:eastAsia="Calibri"/>
                <w:b/>
                <w:bCs/>
                <w:lang w:val="lv-LV"/>
              </w:rPr>
              <w:t>apliecinājums</w:t>
            </w:r>
            <w:r w:rsidRPr="004506DB">
              <w:rPr>
                <w:rFonts w:eastAsia="Calibri"/>
                <w:bCs/>
                <w:lang w:val="lv-LV"/>
              </w:rPr>
              <w:t>,</w:t>
            </w:r>
            <w:r w:rsidRPr="004506DB">
              <w:rPr>
                <w:rFonts w:eastAsia="Calibri"/>
                <w:b/>
                <w:bCs/>
                <w:lang w:val="lv-LV"/>
              </w:rPr>
              <w:t xml:space="preserve"> </w:t>
            </w:r>
            <w:r w:rsidRPr="004506DB">
              <w:rPr>
                <w:rFonts w:eastAsia="Calibri"/>
                <w:bCs/>
                <w:lang w:val="lv-LV"/>
              </w:rPr>
              <w:t xml:space="preserve">ka </w:t>
            </w:r>
            <w:r w:rsidRPr="004506DB">
              <w:rPr>
                <w:rFonts w:eastAsia="Calibri"/>
                <w:lang w:val="lv-LV"/>
              </w:rPr>
              <w:t xml:space="preserve">pretendents ir reģistrēts, licencēts vai sertificēts atbilstoši attiecīgās valsts normatīvo aktu prasībām </w:t>
            </w:r>
            <w:r w:rsidRPr="004506DB">
              <w:rPr>
                <w:rFonts w:eastAsia="Calibri"/>
                <w:bCs/>
                <w:lang w:val="lv-LV"/>
              </w:rPr>
              <w:t xml:space="preserve">un tam ir tiesības veikt komercdarbību </w:t>
            </w:r>
            <w:r w:rsidRPr="004506DB">
              <w:rPr>
                <w:rFonts w:eastAsia="Calibri"/>
                <w:lang w:val="lv-LV"/>
              </w:rPr>
              <w:t>būvdarbu izpildes jomā (atbilstoši Iepirkuma priekšmetam)</w:t>
            </w:r>
            <w:r w:rsidRPr="004506DB">
              <w:rPr>
                <w:lang w:val="lv-LV"/>
              </w:rPr>
              <w:t>.</w:t>
            </w:r>
          </w:p>
        </w:tc>
      </w:tr>
      <w:tr w:rsidR="004506DB" w:rsidRPr="00FB7E03" w:rsidTr="007830DB">
        <w:trPr>
          <w:trHeight w:val="599"/>
        </w:trPr>
        <w:tc>
          <w:tcPr>
            <w:tcW w:w="2014" w:type="dxa"/>
            <w:vAlign w:val="center"/>
          </w:tcPr>
          <w:p w:rsidR="004506DB" w:rsidRPr="004506DB" w:rsidRDefault="004506DB" w:rsidP="004506DB">
            <w:pPr>
              <w:jc w:val="center"/>
              <w:rPr>
                <w:lang w:val="lv-LV"/>
              </w:rPr>
            </w:pPr>
            <w:r w:rsidRPr="004506DB">
              <w:rPr>
                <w:lang w:val="lv-LV"/>
              </w:rPr>
              <w:t>4.1.3.</w:t>
            </w:r>
          </w:p>
        </w:tc>
        <w:tc>
          <w:tcPr>
            <w:tcW w:w="7229" w:type="dxa"/>
            <w:vAlign w:val="center"/>
          </w:tcPr>
          <w:p w:rsidR="004506DB" w:rsidRPr="004506DB" w:rsidRDefault="004506DB" w:rsidP="004506DB">
            <w:pPr>
              <w:ind w:right="-2"/>
              <w:jc w:val="both"/>
              <w:rPr>
                <w:lang w:val="lv-LV"/>
              </w:rPr>
            </w:pPr>
            <w:r w:rsidRPr="004506DB">
              <w:rPr>
                <w:rFonts w:eastAsia="Calibri"/>
                <w:b/>
                <w:bCs/>
                <w:lang w:val="lv-LV"/>
              </w:rPr>
              <w:t>apliecinājums</w:t>
            </w:r>
            <w:r w:rsidRPr="004506DB">
              <w:rPr>
                <w:rFonts w:eastAsia="Calibri"/>
                <w:bCs/>
                <w:lang w:val="lv-LV"/>
              </w:rPr>
              <w:t>,</w:t>
            </w:r>
            <w:r w:rsidRPr="004506DB">
              <w:rPr>
                <w:rFonts w:eastAsia="Calibri"/>
                <w:lang w:val="lv-LV"/>
              </w:rPr>
              <w:t xml:space="preserve">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w:t>
            </w:r>
            <w:r w:rsidRPr="004506DB">
              <w:rPr>
                <w:rFonts w:eastAsia="Calibri"/>
                <w:color w:val="000000"/>
                <w:lang w:val="lv-LV"/>
              </w:rPr>
              <w:t>Objektiem, kuros attiecīgie darbi veikti, jābūt pabeigtiem un pieņemtiem ekspluatācijā</w:t>
            </w:r>
            <w:r w:rsidRPr="004506DB">
              <w:rPr>
                <w:lang w:val="lv-LV"/>
              </w:rPr>
              <w:t>.</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4.1.4.</w:t>
            </w:r>
          </w:p>
        </w:tc>
        <w:tc>
          <w:tcPr>
            <w:tcW w:w="7229" w:type="dxa"/>
            <w:vAlign w:val="center"/>
          </w:tcPr>
          <w:p w:rsidR="004506DB" w:rsidRPr="004506DB" w:rsidRDefault="004506DB" w:rsidP="004506DB">
            <w:pPr>
              <w:keepNext/>
              <w:tabs>
                <w:tab w:val="left" w:pos="1276"/>
              </w:tabs>
              <w:ind w:right="-2"/>
              <w:jc w:val="both"/>
              <w:outlineLvl w:val="1"/>
              <w:rPr>
                <w:bCs/>
                <w:iCs/>
                <w:lang w:val="lv-LV" w:eastAsia="lv-LV"/>
              </w:rPr>
            </w:pPr>
            <w:r w:rsidRPr="004506DB">
              <w:rPr>
                <w:rFonts w:eastAsia="Calibri"/>
                <w:b/>
                <w:bCs/>
                <w:lang w:val="lv-LV"/>
              </w:rPr>
              <w:t xml:space="preserve">atsauksmes </w:t>
            </w:r>
            <w:r w:rsidRPr="004506DB">
              <w:rPr>
                <w:rFonts w:eastAsia="Calibri"/>
                <w:lang w:val="lv-LV"/>
              </w:rPr>
              <w:t>no Nolikuma 4.1.3. apakšpunktā minēto pakalpojumu saņēmējiem. Atsauksmēs jābūt norādei vai līgums tika izpildīts noteiktajā termiņā un kvalitatīvi</w:t>
            </w:r>
            <w:r w:rsidRPr="004506DB">
              <w:rPr>
                <w:bCs/>
                <w:iCs/>
                <w:lang w:val="lv-LV" w:eastAsia="lv-LV"/>
              </w:rPr>
              <w:t>.</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4.1.5.</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color w:val="000000"/>
                <w:lang w:val="lv-LV"/>
              </w:rPr>
              <w:t xml:space="preserve">apdrošināšanas sabiedrības izsniegts </w:t>
            </w:r>
            <w:r w:rsidRPr="004506DB">
              <w:rPr>
                <w:rFonts w:eastAsia="Calibri"/>
                <w:b/>
                <w:color w:val="000000"/>
                <w:lang w:val="lv-LV"/>
              </w:rPr>
              <w:t>apliecinājums</w:t>
            </w:r>
            <w:r w:rsidRPr="004506DB">
              <w:rPr>
                <w:rFonts w:eastAsia="Calibri"/>
                <w:color w:val="000000"/>
                <w:lang w:val="lv-LV"/>
              </w:rPr>
              <w:t>,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4506DB" w:rsidRPr="004506DB" w:rsidTr="007830DB">
        <w:trPr>
          <w:trHeight w:val="331"/>
        </w:trPr>
        <w:tc>
          <w:tcPr>
            <w:tcW w:w="2014" w:type="dxa"/>
            <w:vAlign w:val="center"/>
          </w:tcPr>
          <w:p w:rsidR="004506DB" w:rsidRPr="004506DB" w:rsidRDefault="004506DB" w:rsidP="004506DB">
            <w:pPr>
              <w:jc w:val="center"/>
              <w:rPr>
                <w:lang w:val="lv-LV"/>
              </w:rPr>
            </w:pPr>
            <w:r w:rsidRPr="004506DB">
              <w:rPr>
                <w:lang w:val="lv-LV"/>
              </w:rPr>
              <w:t>4.1.6.</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apliecinājums</w:t>
            </w:r>
            <w:r w:rsidRPr="004506DB">
              <w:rPr>
                <w:rFonts w:eastAsia="Calibri"/>
                <w:color w:val="000000"/>
                <w:lang w:val="lv-LV"/>
              </w:rPr>
              <w:t>, kas atbilst Nolikuma 3. pielikumā</w:t>
            </w:r>
            <w:r w:rsidRPr="004506DB">
              <w:rPr>
                <w:rFonts w:eastAsia="Calibri"/>
                <w:color w:val="000000"/>
              </w:rPr>
              <w:t xml:space="preserve"> </w:t>
            </w:r>
            <w:r w:rsidRPr="004506DB">
              <w:rPr>
                <w:rFonts w:eastAsia="Calibri"/>
                <w:color w:val="000000"/>
                <w:lang w:val="lv-LV"/>
              </w:rPr>
              <w:t>norādītajam</w:t>
            </w:r>
            <w:r w:rsidRPr="004506DB">
              <w:rPr>
                <w:rFonts w:eastAsia="Calibri"/>
                <w:color w:val="000000"/>
              </w:rPr>
              <w:t>.</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4.1.7.</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apliecinājumu</w:t>
            </w:r>
            <w:r w:rsidRPr="004506DB">
              <w:rPr>
                <w:rFonts w:eastAsia="Calibri"/>
                <w:color w:val="000000"/>
                <w:lang w:val="lv-LV"/>
              </w:rPr>
              <w:t>,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4.1.8.</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apliecinājums</w:t>
            </w:r>
            <w:r w:rsidRPr="004506DB">
              <w:rPr>
                <w:rFonts w:eastAsia="Calibri"/>
                <w:color w:val="000000"/>
                <w:lang w:val="lv-LV"/>
              </w:rPr>
              <w:t xml:space="preserve">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4506DB" w:rsidRPr="004506DB" w:rsidTr="007830DB">
        <w:trPr>
          <w:trHeight w:val="331"/>
        </w:trPr>
        <w:tc>
          <w:tcPr>
            <w:tcW w:w="2014" w:type="dxa"/>
            <w:vAlign w:val="center"/>
          </w:tcPr>
          <w:p w:rsidR="004506DB" w:rsidRPr="004506DB" w:rsidRDefault="004506DB" w:rsidP="004506DB">
            <w:pPr>
              <w:jc w:val="center"/>
              <w:rPr>
                <w:lang w:val="lv-LV"/>
              </w:rPr>
            </w:pPr>
            <w:r w:rsidRPr="004506DB">
              <w:rPr>
                <w:lang w:val="lv-LV"/>
              </w:rPr>
              <w:t>4.1.9.</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color w:val="000000"/>
                <w:lang w:val="lv-LV"/>
              </w:rPr>
              <w:t>pretendents darbu izpildei var piesaistīt apakšuzņēmējus. Tādā gadījumā jāiesniedz apakšuzņēmēju apliecinājumi par gatavību veikt tiem nododamo darbu veidus. Apakšuzņēmējam jābūt sertificētam tajā jomā, kurā tas veiks darbus</w:t>
            </w:r>
            <w:r w:rsidRPr="004506DB">
              <w:rPr>
                <w:rFonts w:eastAsia="Calibri"/>
                <w:color w:val="000000"/>
              </w:rPr>
              <w:t>.</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4.1.10.</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lang w:val="lv-LV"/>
              </w:rPr>
              <w:t>saraksts ar pr</w:t>
            </w:r>
            <w:r w:rsidRPr="004506DB">
              <w:rPr>
                <w:rFonts w:eastAsia="Calibri"/>
                <w:color w:val="000000"/>
                <w:lang w:val="lv-LV"/>
              </w:rPr>
              <w:t xml:space="preserve">etendenta personālu, </w:t>
            </w:r>
            <w:r w:rsidRPr="004506DB">
              <w:rPr>
                <w:lang w:val="lv-LV"/>
              </w:rPr>
              <w:t>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4.1.11.</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b/>
                <w:bCs/>
                <w:color w:val="000000"/>
                <w:lang w:val="lv-LV"/>
              </w:rPr>
              <w:t>apliecinājums</w:t>
            </w:r>
            <w:r w:rsidRPr="004506DB">
              <w:rPr>
                <w:rFonts w:eastAsia="Calibri"/>
                <w:color w:val="000000"/>
                <w:lang w:val="lv-LV"/>
              </w:rPr>
              <w:t xml:space="preserve"> (gada bilances peļņas un zaudējumu aprēķini vai līdzvērtīgs dokuments no valsts, kurā pretendents ir reģistrēts) par tā vidējo gada apgrozījumu 3 (trīs) iepriekšējo finanšu gadu (2015., 2016., 2017. gadu) laikā. Pretendenta vidējam gada apgrozījumam norādītajā laikā jābūt vismaz </w:t>
            </w:r>
            <w:r w:rsidRPr="004506DB">
              <w:rPr>
                <w:lang w:val="lv-LV"/>
              </w:rPr>
              <w:t>piedāvātās kopējās līgumcenas apmērā.</w:t>
            </w:r>
          </w:p>
        </w:tc>
      </w:tr>
      <w:tr w:rsidR="004506DB" w:rsidRPr="00FB7E03" w:rsidTr="007830DB">
        <w:trPr>
          <w:trHeight w:val="331"/>
        </w:trPr>
        <w:tc>
          <w:tcPr>
            <w:tcW w:w="2014" w:type="dxa"/>
            <w:vAlign w:val="center"/>
          </w:tcPr>
          <w:p w:rsidR="004506DB" w:rsidRPr="004506DB" w:rsidRDefault="004506DB" w:rsidP="004506DB">
            <w:pPr>
              <w:jc w:val="center"/>
              <w:rPr>
                <w:lang w:val="lv-LV"/>
              </w:rPr>
            </w:pPr>
            <w:r w:rsidRPr="004506DB">
              <w:rPr>
                <w:lang w:val="lv-LV"/>
              </w:rPr>
              <w:t>4.1.12.</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color w:val="000000"/>
                <w:lang w:val="lv-LV"/>
              </w:rPr>
              <w:t xml:space="preserve">Pretendents, kas attiecīgajā tirgū darbojas mazāk nekā 2 (divus) kalendāros gadus, iesniedz Nolikuma 4.1.11. apakšpunktā minēto dokumentu tikai par periodu no darbības uzsākšanas brīža (bet vidējam gada apgrozījumam jābūt vismaz </w:t>
            </w:r>
            <w:r w:rsidRPr="004506DB">
              <w:rPr>
                <w:lang w:val="lv-LV"/>
              </w:rPr>
              <w:t>piedāvātās kopējās līgumcenas apmērā</w:t>
            </w:r>
            <w:r w:rsidRPr="004506DB">
              <w:rPr>
                <w:rFonts w:eastAsia="Calibri"/>
                <w:color w:val="000000"/>
                <w:lang w:val="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4506DB" w:rsidRPr="004506DB" w:rsidTr="007830DB">
        <w:trPr>
          <w:trHeight w:val="412"/>
        </w:trPr>
        <w:tc>
          <w:tcPr>
            <w:tcW w:w="1701" w:type="dxa"/>
            <w:vAlign w:val="center"/>
          </w:tcPr>
          <w:p w:rsidR="004506DB" w:rsidRPr="004506DB" w:rsidRDefault="004506DB" w:rsidP="004506DB">
            <w:pPr>
              <w:jc w:val="center"/>
              <w:rPr>
                <w:sz w:val="22"/>
                <w:szCs w:val="22"/>
                <w:lang w:val="lv-LV"/>
              </w:rPr>
            </w:pPr>
            <w:r w:rsidRPr="004506DB">
              <w:rPr>
                <w:sz w:val="22"/>
                <w:szCs w:val="22"/>
                <w:lang w:val="lv-LV"/>
              </w:rPr>
              <w:t>Nolikuma apakšpunkta Nr.</w:t>
            </w:r>
          </w:p>
        </w:tc>
        <w:tc>
          <w:tcPr>
            <w:tcW w:w="2410"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lang w:val="lv-LV"/>
              </w:rPr>
              <w:t xml:space="preserve">SIA "Borg", reģistrācijas </w:t>
            </w:r>
          </w:p>
          <w:p w:rsidR="004506DB" w:rsidRPr="004506DB" w:rsidRDefault="004506DB" w:rsidP="004506DB">
            <w:pPr>
              <w:jc w:val="center"/>
              <w:rPr>
                <w:sz w:val="22"/>
                <w:szCs w:val="22"/>
                <w:lang w:val="lv-LV"/>
              </w:rPr>
            </w:pPr>
            <w:r w:rsidRPr="004506DB">
              <w:rPr>
                <w:sz w:val="22"/>
                <w:szCs w:val="22"/>
                <w:lang w:val="lv-LV"/>
              </w:rPr>
              <w:t>Nr.</w:t>
            </w:r>
            <w:r w:rsidRPr="004506DB">
              <w:rPr>
                <w:bCs/>
                <w:sz w:val="22"/>
                <w:szCs w:val="22"/>
                <w:lang w:val="lv-LV" w:eastAsia="lv-LV"/>
              </w:rPr>
              <w:t>41503012572</w:t>
            </w:r>
          </w:p>
        </w:tc>
        <w:tc>
          <w:tcPr>
            <w:tcW w:w="2552" w:type="dxa"/>
            <w:vAlign w:val="center"/>
          </w:tcPr>
          <w:p w:rsidR="004506DB" w:rsidRPr="004506DB" w:rsidRDefault="004506DB" w:rsidP="004506DB">
            <w:pPr>
              <w:jc w:val="center"/>
              <w:rPr>
                <w:sz w:val="22"/>
                <w:szCs w:val="22"/>
                <w:lang w:val="lv-LV"/>
              </w:rPr>
            </w:pPr>
            <w:r w:rsidRPr="004506DB">
              <w:rPr>
                <w:sz w:val="22"/>
                <w:szCs w:val="22"/>
              </w:rPr>
              <w:t>SIA "Interbūve", reģistrācijas Nr.42103054476</w:t>
            </w:r>
          </w:p>
        </w:tc>
        <w:tc>
          <w:tcPr>
            <w:tcW w:w="2551" w:type="dxa"/>
            <w:vAlign w:val="center"/>
          </w:tcPr>
          <w:p w:rsidR="004506DB" w:rsidRPr="004506DB" w:rsidRDefault="004506DB" w:rsidP="004506DB">
            <w:pPr>
              <w:jc w:val="center"/>
              <w:rPr>
                <w:sz w:val="22"/>
                <w:szCs w:val="22"/>
                <w:lang w:val="lv-LV"/>
              </w:rPr>
            </w:pPr>
            <w:r w:rsidRPr="004506DB">
              <w:rPr>
                <w:sz w:val="22"/>
                <w:szCs w:val="22"/>
              </w:rPr>
              <w:t>AS "Fagos", reģistrācijas Nr.42103070038</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4.1.3.</w:t>
            </w:r>
          </w:p>
        </w:tc>
        <w:tc>
          <w:tcPr>
            <w:tcW w:w="2410"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4.1.4.</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4.1.5.</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4.1.6.</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4.1.7.</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4.1.8.</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4.1.9.</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4.1.10.</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 xml:space="preserve">Ir iesniegts/atbilst </w:t>
            </w:r>
          </w:p>
        </w:tc>
      </w:tr>
    </w:tbl>
    <w:p w:rsidR="004506DB" w:rsidRDefault="004506DB" w:rsidP="009403E1">
      <w:pPr>
        <w:spacing w:before="120"/>
        <w:ind w:right="-283" w:firstLine="567"/>
        <w:jc w:val="both"/>
        <w:rPr>
          <w:rFonts w:eastAsiaTheme="minorHAnsi" w:cstheme="minorBidi"/>
          <w:bCs/>
          <w:lang w:val="lv-LV" w:eastAsia="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4506DB" w:rsidRPr="004506DB" w:rsidTr="007830DB">
        <w:trPr>
          <w:trHeight w:val="412"/>
        </w:trPr>
        <w:tc>
          <w:tcPr>
            <w:tcW w:w="1701" w:type="dxa"/>
            <w:vAlign w:val="center"/>
          </w:tcPr>
          <w:p w:rsidR="004506DB" w:rsidRPr="004506DB" w:rsidRDefault="004506DB" w:rsidP="004506DB">
            <w:pPr>
              <w:jc w:val="center"/>
              <w:rPr>
                <w:sz w:val="22"/>
                <w:szCs w:val="22"/>
                <w:lang w:val="lv-LV"/>
              </w:rPr>
            </w:pPr>
            <w:r w:rsidRPr="004506DB">
              <w:rPr>
                <w:sz w:val="22"/>
                <w:szCs w:val="22"/>
                <w:lang w:val="lv-LV"/>
              </w:rPr>
              <w:t>Nolikuma apakšpunkta Nr.</w:t>
            </w:r>
          </w:p>
        </w:tc>
        <w:tc>
          <w:tcPr>
            <w:tcW w:w="2410" w:type="dxa"/>
            <w:vAlign w:val="center"/>
          </w:tcPr>
          <w:p w:rsidR="004506DB" w:rsidRPr="004506DB" w:rsidRDefault="004506DB" w:rsidP="004506DB">
            <w:pPr>
              <w:jc w:val="center"/>
              <w:rPr>
                <w:sz w:val="22"/>
                <w:szCs w:val="22"/>
                <w:lang w:val="lv-LV"/>
              </w:rPr>
            </w:pPr>
            <w:r w:rsidRPr="004506DB">
              <w:rPr>
                <w:bCs/>
                <w:sz w:val="22"/>
                <w:szCs w:val="22"/>
                <w:lang w:val="lv-LV" w:eastAsia="lv-LV"/>
              </w:rPr>
              <w:t>SIA "BK Māja", reģistrācijas Nr.40103281730</w:t>
            </w:r>
          </w:p>
        </w:tc>
        <w:tc>
          <w:tcPr>
            <w:tcW w:w="2552" w:type="dxa"/>
            <w:vAlign w:val="center"/>
          </w:tcPr>
          <w:p w:rsidR="004506DB" w:rsidRPr="004506DB" w:rsidRDefault="004506DB" w:rsidP="004506DB">
            <w:pPr>
              <w:jc w:val="center"/>
              <w:rPr>
                <w:sz w:val="22"/>
                <w:szCs w:val="22"/>
                <w:lang w:val="lv-LV"/>
              </w:rPr>
            </w:pPr>
            <w:r w:rsidRPr="004506DB">
              <w:rPr>
                <w:bCs/>
                <w:sz w:val="22"/>
                <w:szCs w:val="22"/>
                <w:lang w:val="lv-LV" w:eastAsia="lv-LV"/>
              </w:rPr>
              <w:t>PS "VAAB", reģistrācijas Nr.40103874946</w:t>
            </w:r>
          </w:p>
        </w:tc>
        <w:tc>
          <w:tcPr>
            <w:tcW w:w="2551" w:type="dxa"/>
            <w:vAlign w:val="center"/>
          </w:tcPr>
          <w:p w:rsidR="004506DB" w:rsidRPr="004506DB" w:rsidRDefault="004506DB" w:rsidP="004506DB">
            <w:pPr>
              <w:jc w:val="center"/>
              <w:rPr>
                <w:sz w:val="22"/>
                <w:szCs w:val="22"/>
                <w:lang w:val="lv-LV"/>
              </w:rPr>
            </w:pPr>
            <w:r w:rsidRPr="004506DB">
              <w:rPr>
                <w:bCs/>
                <w:sz w:val="22"/>
                <w:szCs w:val="22"/>
                <w:lang w:val="lv-LV" w:eastAsia="lv-LV"/>
              </w:rPr>
              <w:t>SIA "BD&amp;C", reģistrācijas Nr.40103329844</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4.1.3.</w:t>
            </w:r>
          </w:p>
        </w:tc>
        <w:tc>
          <w:tcPr>
            <w:tcW w:w="2410"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4.1.4.</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4.1.5.</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4.1.6.</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4.1.7.</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4.1.8.</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4.1.9.</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4.1.10.</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r>
    </w:tbl>
    <w:p w:rsidR="001F1216" w:rsidRDefault="001F1216" w:rsidP="00AF1248">
      <w:pPr>
        <w:ind w:firstLine="567"/>
        <w:jc w:val="both"/>
        <w:rPr>
          <w:bCs/>
          <w:lang w:val="lv-LV" w:eastAsia="lv-LV"/>
        </w:rPr>
      </w:pP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W w:w="9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977"/>
        <w:gridCol w:w="2381"/>
      </w:tblGrid>
      <w:tr w:rsidR="004506DB" w:rsidRPr="00FB7E03" w:rsidTr="007830DB">
        <w:trPr>
          <w:trHeight w:val="713"/>
        </w:trPr>
        <w:tc>
          <w:tcPr>
            <w:tcW w:w="4253" w:type="dxa"/>
            <w:vAlign w:val="center"/>
          </w:tcPr>
          <w:p w:rsidR="004506DB" w:rsidRPr="004506DB" w:rsidRDefault="004506DB" w:rsidP="004506DB">
            <w:pPr>
              <w:tabs>
                <w:tab w:val="left" w:pos="3686"/>
                <w:tab w:val="left" w:pos="6237"/>
              </w:tabs>
              <w:autoSpaceDE w:val="0"/>
              <w:autoSpaceDN w:val="0"/>
              <w:adjustRightInd w:val="0"/>
              <w:ind w:right="-2"/>
              <w:jc w:val="center"/>
              <w:rPr>
                <w:b/>
                <w:bCs/>
                <w:sz w:val="22"/>
                <w:szCs w:val="22"/>
                <w:lang w:val="lv-LV"/>
              </w:rPr>
            </w:pPr>
            <w:r w:rsidRPr="004506DB">
              <w:rPr>
                <w:b/>
                <w:bCs/>
                <w:sz w:val="22"/>
                <w:szCs w:val="22"/>
                <w:lang w:val="lv-LV"/>
              </w:rPr>
              <w:t>Nosaukums</w:t>
            </w:r>
          </w:p>
        </w:tc>
        <w:tc>
          <w:tcPr>
            <w:tcW w:w="2977" w:type="dxa"/>
            <w:vAlign w:val="center"/>
          </w:tcPr>
          <w:p w:rsidR="004506DB" w:rsidRPr="004506DB" w:rsidRDefault="004506DB" w:rsidP="004506DB">
            <w:pPr>
              <w:tabs>
                <w:tab w:val="left" w:pos="3686"/>
                <w:tab w:val="left" w:pos="6237"/>
              </w:tabs>
              <w:ind w:right="-2"/>
              <w:jc w:val="center"/>
              <w:rPr>
                <w:b/>
                <w:sz w:val="22"/>
                <w:szCs w:val="22"/>
                <w:lang w:val="lv-LV"/>
              </w:rPr>
            </w:pPr>
            <w:r w:rsidRPr="004506DB">
              <w:rPr>
                <w:b/>
                <w:sz w:val="22"/>
                <w:szCs w:val="22"/>
                <w:lang w:val="lv-LV"/>
              </w:rPr>
              <w:t>Pretendents</w:t>
            </w:r>
          </w:p>
        </w:tc>
        <w:tc>
          <w:tcPr>
            <w:tcW w:w="2381" w:type="dxa"/>
            <w:vAlign w:val="center"/>
          </w:tcPr>
          <w:p w:rsidR="004506DB" w:rsidRPr="004506DB" w:rsidRDefault="004506DB" w:rsidP="004506DB">
            <w:pPr>
              <w:tabs>
                <w:tab w:val="left" w:pos="3686"/>
                <w:tab w:val="left" w:pos="6237"/>
              </w:tabs>
              <w:ind w:right="-2"/>
              <w:jc w:val="center"/>
              <w:rPr>
                <w:sz w:val="22"/>
                <w:szCs w:val="22"/>
                <w:lang w:val="lv-LV"/>
              </w:rPr>
            </w:pPr>
            <w:r w:rsidRPr="004506DB">
              <w:rPr>
                <w:b/>
                <w:sz w:val="22"/>
                <w:szCs w:val="22"/>
                <w:lang w:val="lv-LV"/>
              </w:rPr>
              <w:t>Līgumcena, EUR (bez PVN) - piedāvājuma izvēles kritērijs</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lang w:val="lv-LV"/>
              </w:rPr>
              <w:t>1. daļa: Brasas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51 239,76</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65 357,65</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lang w:val="lv-LV"/>
              </w:rPr>
              <w:t>2.daļa: Jēkabpils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"BK Māja", reģistrācijas Nr.40103281730</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50 499,73</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39 806,47</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lang w:val="lv-LV"/>
              </w:rPr>
            </w:pPr>
            <w:r w:rsidRPr="004506DB">
              <w:rPr>
                <w:sz w:val="22"/>
                <w:szCs w:val="22"/>
                <w:lang w:val="lv-LV"/>
              </w:rPr>
              <w:t>3.daļa Olaines cietuma  sieviešu korpusa un Latvijas Cietumu slimnīcas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12 249,20</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4.daļa </w:t>
            </w:r>
            <w:r w:rsidRPr="004506DB">
              <w:rPr>
                <w:rFonts w:eastAsia="Calibri"/>
                <w:sz w:val="22"/>
                <w:szCs w:val="22"/>
                <w:lang w:val="lv-LV"/>
              </w:rPr>
              <w:t>Valmieras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16 083,82</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5.daļa </w:t>
            </w:r>
            <w:r w:rsidRPr="004506DB">
              <w:rPr>
                <w:rFonts w:eastAsia="Calibri"/>
                <w:sz w:val="22"/>
                <w:szCs w:val="22"/>
                <w:lang w:val="lv-LV"/>
              </w:rPr>
              <w:t>Daugavgrīvas cietuma dušas telpu remonts</w:t>
            </w: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lang w:val="lv-LV"/>
              </w:rPr>
              <w:t xml:space="preserve">SIA "Borg", reģistrācijas </w:t>
            </w:r>
          </w:p>
          <w:p w:rsidR="004506DB" w:rsidRPr="004506DB" w:rsidRDefault="004506DB" w:rsidP="004506DB">
            <w:pPr>
              <w:tabs>
                <w:tab w:val="left" w:pos="3072"/>
                <w:tab w:val="left" w:pos="3119"/>
              </w:tabs>
              <w:ind w:right="-47"/>
              <w:jc w:val="center"/>
              <w:rPr>
                <w:bCs/>
                <w:sz w:val="22"/>
                <w:szCs w:val="22"/>
                <w:lang w:val="lv-LV" w:eastAsia="lv-LV"/>
              </w:rPr>
            </w:pPr>
            <w:r w:rsidRPr="004506DB">
              <w:rPr>
                <w:sz w:val="22"/>
                <w:szCs w:val="22"/>
                <w:lang w:val="lv-LV"/>
              </w:rPr>
              <w:t>Nr.</w:t>
            </w:r>
            <w:r w:rsidRPr="004506DB">
              <w:rPr>
                <w:bCs/>
                <w:sz w:val="22"/>
                <w:szCs w:val="22"/>
                <w:lang w:val="lv-LV" w:eastAsia="lv-LV"/>
              </w:rPr>
              <w:t>41503012572</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19 763,02</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6.daļa </w:t>
            </w:r>
            <w:r w:rsidRPr="004506DB">
              <w:rPr>
                <w:rFonts w:eastAsia="Calibri"/>
                <w:sz w:val="22"/>
                <w:szCs w:val="22"/>
                <w:lang w:val="lv-LV"/>
              </w:rPr>
              <w:t>Iļģuciema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34 710,20</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52 722,63</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7.daļa </w:t>
            </w:r>
            <w:r w:rsidRPr="004506DB">
              <w:rPr>
                <w:rFonts w:eastAsia="Calibri"/>
                <w:sz w:val="22"/>
                <w:szCs w:val="22"/>
                <w:lang w:val="lv-LV"/>
              </w:rPr>
              <w:t>Liepājas cietuma dušas telpu remonts</w:t>
            </w: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rPr>
              <w:t>SIA "Interbūve", reģistrācijas Nr.42103054476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18 379,36</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rPr>
              <w:t>AS "Fagos", reģistrācijas Nr.42103070038</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11 947,34</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20 017,86</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8.daļa </w:t>
            </w:r>
            <w:r w:rsidRPr="004506DB">
              <w:rPr>
                <w:rFonts w:eastAsia="Calibri"/>
                <w:sz w:val="22"/>
                <w:szCs w:val="22"/>
                <w:lang w:val="lv-LV"/>
              </w:rPr>
              <w:t>Jelgavas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27 082,51</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9.daļa </w:t>
            </w:r>
            <w:r w:rsidRPr="004506DB">
              <w:rPr>
                <w:rFonts w:eastAsia="Calibri"/>
                <w:sz w:val="22"/>
                <w:szCs w:val="22"/>
                <w:lang w:val="lv-LV"/>
              </w:rPr>
              <w:t>Rīgas Centrālcietuma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177 939,04</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278 431,68</w:t>
            </w:r>
          </w:p>
        </w:tc>
      </w:tr>
    </w:tbl>
    <w:p w:rsidR="001F1216" w:rsidRDefault="001F1216" w:rsidP="001F1216">
      <w:pPr>
        <w:spacing w:before="120"/>
        <w:ind w:firstLine="709"/>
        <w:jc w:val="both"/>
        <w:rPr>
          <w:rFonts w:eastAsiaTheme="minorHAnsi" w:cstheme="minorBidi"/>
          <w:bCs/>
          <w:lang w:val="lv-LV" w:eastAsia="lv-LV"/>
        </w:rPr>
      </w:pPr>
      <w:r>
        <w:rPr>
          <w:rFonts w:eastAsiaTheme="minorHAnsi" w:cstheme="minorBidi"/>
          <w:bCs/>
          <w:lang w:val="lv-LV" w:eastAsia="lv-LV"/>
        </w:rPr>
        <w:t>Ņemot vērā Pārvaldes (pasūtītāja) primārās vajadzības, Iepirkumu komisija vērtē iesniegtos piedāvājumus Iepirkuma 3., 4., 5. un 7.daļā.</w:t>
      </w:r>
    </w:p>
    <w:p w:rsidR="001F1216" w:rsidRDefault="001F1216" w:rsidP="001F1216">
      <w:pPr>
        <w:ind w:firstLine="709"/>
        <w:jc w:val="both"/>
        <w:rPr>
          <w:rFonts w:eastAsiaTheme="minorHAnsi" w:cstheme="minorBidi"/>
          <w:noProof/>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w:t>
      </w:r>
      <w:r>
        <w:rPr>
          <w:rFonts w:eastAsiaTheme="minorHAnsi" w:cstheme="minorBidi"/>
          <w:bCs/>
          <w:lang w:val="lv-LV" w:eastAsia="lv-LV"/>
        </w:rPr>
        <w:t>Iepirkuma 3., 4., 5. un 7.daļā</w:t>
      </w:r>
      <w:r w:rsidRPr="00BA49AB">
        <w:rPr>
          <w:rFonts w:eastAsiaTheme="minorHAnsi" w:cstheme="minorBidi"/>
          <w:noProof/>
          <w:lang w:val="lv-LV"/>
        </w:rPr>
        <w:t xml:space="preserve"> atbilst Nolikuma Tehniskās specifikācijas prasībām.</w:t>
      </w:r>
    </w:p>
    <w:p w:rsidR="004506DB" w:rsidRPr="00A250C8" w:rsidRDefault="001F1216" w:rsidP="001F1216">
      <w:pPr>
        <w:spacing w:before="120"/>
        <w:ind w:firstLine="709"/>
        <w:jc w:val="both"/>
        <w:rPr>
          <w:lang w:val="lv-LV"/>
        </w:rPr>
      </w:pPr>
      <w:r w:rsidRPr="00A250C8">
        <w:rPr>
          <w:lang w:val="lv-LV"/>
        </w:rPr>
        <w:t>Ņemot vērā, ka piedāvājuma izvēles kritērijs ir</w:t>
      </w:r>
      <w:r w:rsidR="004506DB" w:rsidRPr="00A250C8">
        <w:rPr>
          <w:lang w:val="lv-LV"/>
        </w:rPr>
        <w:t xml:space="preserve"> – viszemākā nosacītā līgumcena katrā daļā atsevišķi, kas atbilst nolikumā minētajām prasībām un tehniskajai specifikācijai, ar visām izmaksām, iekļaujot nodokļus un izdevumus, bez pievienotās vērtības nodokļa, līguma slēgšanas tiesības būtu piešķiramas:</w:t>
      </w:r>
    </w:p>
    <w:p w:rsidR="004506DB" w:rsidRPr="00A250C8" w:rsidRDefault="004506DB" w:rsidP="004506DB">
      <w:pPr>
        <w:ind w:firstLine="709"/>
        <w:jc w:val="both"/>
        <w:rPr>
          <w:bCs/>
          <w:lang w:val="lv-LV"/>
        </w:rPr>
      </w:pPr>
      <w:r w:rsidRPr="00A250C8">
        <w:rPr>
          <w:bCs/>
          <w:lang w:val="lv-LV"/>
        </w:rPr>
        <w:t>3.</w:t>
      </w:r>
      <w:r>
        <w:rPr>
          <w:bCs/>
          <w:lang w:val="lv-LV"/>
        </w:rPr>
        <w:t xml:space="preserve"> un 4</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p>
    <w:p w:rsidR="004506DB" w:rsidRPr="00A250C8" w:rsidRDefault="004506DB" w:rsidP="004506DB">
      <w:pPr>
        <w:ind w:firstLine="709"/>
        <w:jc w:val="both"/>
        <w:rPr>
          <w:bCs/>
          <w:lang w:val="lv-LV"/>
        </w:rPr>
      </w:pPr>
      <w:r w:rsidRPr="00A250C8">
        <w:rPr>
          <w:bCs/>
          <w:lang w:val="lv-LV"/>
        </w:rPr>
        <w:t xml:space="preserve">5.daļā – </w:t>
      </w:r>
      <w:r w:rsidRPr="00A250C8">
        <w:rPr>
          <w:lang w:val="lv-LV"/>
        </w:rPr>
        <w:t>SIA "</w:t>
      </w:r>
      <w:r w:rsidRPr="00A250C8">
        <w:rPr>
          <w:bCs/>
          <w:lang w:val="lv-LV"/>
        </w:rPr>
        <w:t>Borg</w:t>
      </w:r>
      <w:r w:rsidRPr="00A250C8">
        <w:rPr>
          <w:lang w:val="lv-LV"/>
        </w:rPr>
        <w:t>", reģistrācijas Nr.</w:t>
      </w:r>
      <w:r w:rsidRPr="00A250C8">
        <w:rPr>
          <w:bCs/>
          <w:lang w:val="lv-LV" w:eastAsia="lv-LV"/>
        </w:rPr>
        <w:t>41503012572</w:t>
      </w:r>
      <w:r w:rsidRPr="00A250C8">
        <w:rPr>
          <w:lang w:val="lv-LV"/>
        </w:rPr>
        <w:t xml:space="preserve">, juridiskā adrese: </w:t>
      </w:r>
      <w:r w:rsidRPr="00A250C8">
        <w:rPr>
          <w:bCs/>
          <w:lang w:val="lv-LV"/>
        </w:rPr>
        <w:t>Mazā Dārza iela 5-7, Daugavpils, LV-5404.</w:t>
      </w:r>
    </w:p>
    <w:p w:rsidR="004506DB" w:rsidRPr="00D227E5" w:rsidRDefault="004506DB" w:rsidP="004506DB">
      <w:pPr>
        <w:ind w:firstLine="709"/>
        <w:jc w:val="both"/>
        <w:rPr>
          <w:bCs/>
          <w:lang w:val="lv-LV"/>
        </w:rPr>
      </w:pPr>
      <w:r w:rsidRPr="00A250C8">
        <w:rPr>
          <w:bCs/>
          <w:lang w:val="lv-LV"/>
        </w:rPr>
        <w:t xml:space="preserve">7.daļā – </w:t>
      </w:r>
      <w:r w:rsidRPr="00A250C8">
        <w:rPr>
          <w:lang w:val="lv-LV"/>
        </w:rPr>
        <w:t>AS "</w:t>
      </w:r>
      <w:r w:rsidRPr="00A250C8">
        <w:rPr>
          <w:bCs/>
          <w:lang w:val="lv-LV"/>
        </w:rPr>
        <w:t>Fagos</w:t>
      </w:r>
      <w:r w:rsidRPr="00A250C8">
        <w:rPr>
          <w:lang w:val="lv-LV"/>
        </w:rPr>
        <w:t>", reģistrācijas Nr.</w:t>
      </w:r>
      <w:r w:rsidRPr="00A250C8">
        <w:t>42103070038</w:t>
      </w:r>
      <w:r w:rsidRPr="00A250C8">
        <w:rPr>
          <w:lang w:val="lv-LV"/>
        </w:rPr>
        <w:t>, juridiskā adrese: Meldru iela</w:t>
      </w:r>
      <w:r w:rsidRPr="00A250C8">
        <w:t xml:space="preserve"> 1, Liepāja, LV-3401.</w:t>
      </w:r>
    </w:p>
    <w:p w:rsidR="004506DB" w:rsidRDefault="004506DB" w:rsidP="009D1BC2">
      <w:pPr>
        <w:ind w:right="-766"/>
        <w:jc w:val="both"/>
        <w:rPr>
          <w:b/>
          <w:lang w:val="lv-LV"/>
        </w:rPr>
      </w:pPr>
    </w:p>
    <w:p w:rsidR="00380AD2" w:rsidRDefault="00380AD2" w:rsidP="00380AD2">
      <w:pPr>
        <w:ind w:right="42" w:firstLine="709"/>
        <w:jc w:val="both"/>
        <w:rPr>
          <w:lang w:val="lv-LV"/>
        </w:rPr>
      </w:pPr>
      <w:r w:rsidRPr="00DD2A98">
        <w:rPr>
          <w:lang w:val="lv-LV"/>
        </w:rPr>
        <w:t xml:space="preserve">Iepirkumu komisijas 2018. gada </w:t>
      </w:r>
      <w:r>
        <w:rPr>
          <w:lang w:val="lv-LV"/>
        </w:rPr>
        <w:t>8. marta lēmums</w:t>
      </w:r>
      <w:r w:rsidRPr="00DD2A98">
        <w:rPr>
          <w:lang w:val="lv-LV"/>
        </w:rPr>
        <w:t>:</w:t>
      </w:r>
    </w:p>
    <w:p w:rsidR="00380AD2" w:rsidRDefault="00380AD2" w:rsidP="00380AD2">
      <w:pPr>
        <w:ind w:firstLine="709"/>
        <w:jc w:val="both"/>
        <w:rPr>
          <w:rFonts w:eastAsia="Calibri"/>
          <w:bCs/>
          <w:lang w:val="lv-LV"/>
        </w:rPr>
      </w:pPr>
      <w:r>
        <w:rPr>
          <w:rFonts w:eastAsia="Calibri"/>
          <w:noProof/>
          <w:lang w:val="lv-LV"/>
        </w:rPr>
        <w:t>"</w:t>
      </w: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Pr>
          <w:lang w:val="lv-LV"/>
        </w:rPr>
        <w:t>:</w:t>
      </w:r>
    </w:p>
    <w:p w:rsidR="00380AD2" w:rsidRDefault="00380AD2" w:rsidP="00380AD2">
      <w:pPr>
        <w:ind w:firstLine="709"/>
        <w:jc w:val="both"/>
        <w:rPr>
          <w:bCs/>
          <w:lang w:val="lv-LV"/>
        </w:rPr>
      </w:pPr>
      <w:r>
        <w:rPr>
          <w:bCs/>
          <w:lang w:val="lv-LV"/>
        </w:rPr>
        <w:t>3</w:t>
      </w:r>
      <w:r w:rsidRPr="00407D07">
        <w:rPr>
          <w:bCs/>
          <w:lang w:val="lv-LV"/>
        </w:rPr>
        <w:t>.</w:t>
      </w:r>
      <w:r>
        <w:rPr>
          <w:bCs/>
          <w:lang w:val="lv-LV"/>
        </w:rPr>
        <w:t xml:space="preserve"> un 4.</w:t>
      </w:r>
      <w:r w:rsidRPr="00407D07">
        <w:rPr>
          <w:bCs/>
          <w:lang w:val="lv-LV"/>
        </w:rPr>
        <w:t xml:space="preserve">daļā – </w:t>
      </w:r>
      <w:r>
        <w:rPr>
          <w:lang w:val="lv-LV"/>
        </w:rPr>
        <w:t>SIA "</w:t>
      </w:r>
      <w:r w:rsidRPr="00D227E5">
        <w:rPr>
          <w:bCs/>
          <w:lang w:val="lv-LV"/>
        </w:rPr>
        <w:t>BD&amp;C</w:t>
      </w:r>
      <w:r>
        <w:rPr>
          <w:lang w:val="lv-LV"/>
        </w:rPr>
        <w:t>"</w:t>
      </w:r>
      <w:r w:rsidRPr="00D227E5">
        <w:rPr>
          <w:lang w:val="lv-LV"/>
        </w:rPr>
        <w:t>, reģistrācijas Nr.</w:t>
      </w:r>
      <w:r w:rsidRPr="00D227E5">
        <w:rPr>
          <w:bCs/>
          <w:lang w:val="lv-LV"/>
        </w:rPr>
        <w:t>40103329844</w:t>
      </w:r>
      <w:r w:rsidRPr="00D227E5">
        <w:rPr>
          <w:lang w:val="lv-LV"/>
        </w:rPr>
        <w:t xml:space="preserve">, juridiskā adrese: </w:t>
      </w:r>
      <w:r w:rsidRPr="00D227E5">
        <w:rPr>
          <w:bCs/>
          <w:lang w:val="lv-LV"/>
        </w:rPr>
        <w:t>Sudrabu Edžus iela 2-35, Jelgava, LV-3001</w:t>
      </w:r>
      <w:r w:rsidRPr="00407D07">
        <w:rPr>
          <w:bCs/>
          <w:lang w:val="lv-LV"/>
        </w:rPr>
        <w:t>.</w:t>
      </w:r>
    </w:p>
    <w:p w:rsidR="00380AD2" w:rsidRDefault="00380AD2" w:rsidP="00380AD2">
      <w:pPr>
        <w:ind w:firstLine="709"/>
        <w:jc w:val="both"/>
        <w:rPr>
          <w:bCs/>
          <w:lang w:val="lv-LV"/>
        </w:rPr>
      </w:pPr>
      <w:r>
        <w:rPr>
          <w:bCs/>
          <w:lang w:val="lv-LV"/>
        </w:rPr>
        <w:t xml:space="preserve">5.daļā – </w:t>
      </w:r>
      <w:r>
        <w:rPr>
          <w:lang w:val="lv-LV"/>
        </w:rPr>
        <w:t>SIA "</w:t>
      </w:r>
      <w:r>
        <w:rPr>
          <w:bCs/>
          <w:lang w:val="lv-LV"/>
        </w:rPr>
        <w:t>Borg</w:t>
      </w:r>
      <w:r>
        <w:rPr>
          <w:lang w:val="lv-LV"/>
        </w:rPr>
        <w:t>"</w:t>
      </w:r>
      <w:r w:rsidRPr="00D227E5">
        <w:rPr>
          <w:lang w:val="lv-LV"/>
        </w:rPr>
        <w:t>, reģistrācijas Nr.</w:t>
      </w:r>
      <w:r w:rsidRPr="008E4264">
        <w:rPr>
          <w:bCs/>
          <w:lang w:val="lv-LV" w:eastAsia="lv-LV"/>
        </w:rPr>
        <w:t>41503012572</w:t>
      </w:r>
      <w:r w:rsidRPr="00D227E5">
        <w:rPr>
          <w:lang w:val="lv-LV"/>
        </w:rPr>
        <w:t xml:space="preserve">, juridiskā adrese: </w:t>
      </w:r>
      <w:r w:rsidRPr="008E4264">
        <w:rPr>
          <w:bCs/>
          <w:lang w:val="lv-LV"/>
        </w:rPr>
        <w:t>Mazā Dārza iela 5-7, Daugavpils, LV-5404</w:t>
      </w:r>
      <w:r>
        <w:rPr>
          <w:bCs/>
          <w:lang w:val="lv-LV"/>
        </w:rPr>
        <w:t>.</w:t>
      </w:r>
    </w:p>
    <w:p w:rsidR="00380AD2" w:rsidRPr="00D227E5" w:rsidRDefault="00380AD2" w:rsidP="00380AD2">
      <w:pPr>
        <w:ind w:firstLine="709"/>
        <w:jc w:val="both"/>
        <w:rPr>
          <w:bCs/>
          <w:lang w:val="lv-LV"/>
        </w:rPr>
      </w:pPr>
      <w:r>
        <w:rPr>
          <w:bCs/>
          <w:lang w:val="lv-LV"/>
        </w:rPr>
        <w:t xml:space="preserve">7.daļā – </w:t>
      </w:r>
      <w:r>
        <w:rPr>
          <w:lang w:val="lv-LV"/>
        </w:rPr>
        <w:t>AS "</w:t>
      </w:r>
      <w:r>
        <w:rPr>
          <w:bCs/>
          <w:lang w:val="lv-LV"/>
        </w:rPr>
        <w:t>Fagos</w:t>
      </w:r>
      <w:r>
        <w:rPr>
          <w:lang w:val="lv-LV"/>
        </w:rPr>
        <w:t>"</w:t>
      </w:r>
      <w:r w:rsidRPr="00D227E5">
        <w:rPr>
          <w:lang w:val="lv-LV"/>
        </w:rPr>
        <w:t>, reģistrācijas Nr.</w:t>
      </w:r>
      <w:r w:rsidRPr="00190A8B">
        <w:rPr>
          <w:lang w:val="lv-LV"/>
        </w:rPr>
        <w:t>42103070038</w:t>
      </w:r>
      <w:r w:rsidRPr="00D227E5">
        <w:rPr>
          <w:lang w:val="lv-LV"/>
        </w:rPr>
        <w:t xml:space="preserve">, juridiskā adrese: </w:t>
      </w:r>
      <w:r w:rsidRPr="008E4264">
        <w:rPr>
          <w:lang w:val="lv-LV"/>
        </w:rPr>
        <w:t>Meldru iela</w:t>
      </w:r>
      <w:r w:rsidRPr="00190A8B">
        <w:rPr>
          <w:lang w:val="lv-LV"/>
        </w:rPr>
        <w:t xml:space="preserve"> 1, Liepāja, LV-3401.</w:t>
      </w:r>
      <w:r>
        <w:rPr>
          <w:lang w:val="lv-LV"/>
        </w:rPr>
        <w:t>"</w:t>
      </w:r>
    </w:p>
    <w:p w:rsidR="00380AD2" w:rsidRDefault="00380AD2" w:rsidP="00380AD2">
      <w:pPr>
        <w:ind w:right="42" w:firstLine="709"/>
        <w:jc w:val="both"/>
        <w:rPr>
          <w:lang w:val="lv-LV"/>
        </w:rPr>
      </w:pPr>
    </w:p>
    <w:p w:rsidR="00FB7E03" w:rsidRDefault="00FB7E03" w:rsidP="00FB7E03">
      <w:pPr>
        <w:ind w:right="42" w:firstLine="709"/>
        <w:jc w:val="both"/>
        <w:rPr>
          <w:lang w:val="lv-LV"/>
        </w:rPr>
      </w:pPr>
      <w:r>
        <w:rPr>
          <w:lang w:val="lv-LV"/>
        </w:rPr>
        <w:t xml:space="preserve">Iepirkumu komisija uzsāk </w:t>
      </w:r>
      <w:r w:rsidRPr="00DD24D0">
        <w:rPr>
          <w:lang w:val="lv-LV"/>
        </w:rPr>
        <w:t>tehnisko</w:t>
      </w:r>
      <w:r>
        <w:rPr>
          <w:lang w:val="lv-LV"/>
        </w:rPr>
        <w:t xml:space="preserve"> piedāvājumu vērtēšanu </w:t>
      </w:r>
      <w:r>
        <w:rPr>
          <w:rFonts w:eastAsiaTheme="minorHAnsi" w:cstheme="minorBidi"/>
          <w:bCs/>
          <w:lang w:val="lv-LV" w:eastAsia="lv-LV"/>
        </w:rPr>
        <w:t>Iepirkuma 1., 2., 6. un 8.daļā.</w:t>
      </w:r>
    </w:p>
    <w:p w:rsidR="00FB7E03" w:rsidRPr="00800538" w:rsidRDefault="00FB7E03" w:rsidP="00FB7E03">
      <w:pPr>
        <w:ind w:right="42" w:firstLine="709"/>
        <w:jc w:val="both"/>
        <w:rPr>
          <w:rFonts w:eastAsiaTheme="minorHAnsi"/>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w:t>
      </w:r>
      <w:r>
        <w:rPr>
          <w:rFonts w:eastAsiaTheme="minorHAnsi" w:cstheme="minorBidi"/>
          <w:bCs/>
          <w:lang w:val="lv-LV" w:eastAsia="lv-LV"/>
        </w:rPr>
        <w:t>Iepirkuma 1., 2., 6. un 8.daļā</w:t>
      </w:r>
      <w:r w:rsidRPr="00BA49AB">
        <w:rPr>
          <w:rFonts w:eastAsiaTheme="minorHAnsi" w:cstheme="minorBidi"/>
          <w:noProof/>
          <w:lang w:val="lv-LV"/>
        </w:rPr>
        <w:t xml:space="preserve"> atbilst </w:t>
      </w:r>
      <w:r>
        <w:rPr>
          <w:rFonts w:eastAsiaTheme="minorHAnsi" w:cstheme="minorBidi"/>
          <w:noProof/>
          <w:lang w:val="lv-LV"/>
        </w:rPr>
        <w:t>Nolikuma</w:t>
      </w:r>
      <w:r w:rsidRPr="00BA49AB">
        <w:rPr>
          <w:rFonts w:eastAsiaTheme="minorHAnsi" w:cstheme="minorBidi"/>
          <w:noProof/>
          <w:lang w:val="lv-LV"/>
        </w:rPr>
        <w:t xml:space="preserve"> Tehniskās specifikācijas prasībām.</w:t>
      </w:r>
    </w:p>
    <w:p w:rsidR="00FB7E03" w:rsidRPr="008B30BE" w:rsidRDefault="00FB7E03" w:rsidP="00FB7E03">
      <w:pPr>
        <w:spacing w:before="120"/>
        <w:ind w:right="49" w:firstLine="709"/>
        <w:jc w:val="both"/>
        <w:rPr>
          <w:rFonts w:eastAsiaTheme="minorHAnsi"/>
          <w:noProof/>
          <w:lang w:val="lv-LV"/>
        </w:rPr>
      </w:pPr>
      <w:r w:rsidRPr="008B30BE">
        <w:rPr>
          <w:rFonts w:eastAsiaTheme="minorHAnsi"/>
          <w:noProof/>
          <w:color w:val="000000"/>
          <w:lang w:val="lv-LV"/>
        </w:rPr>
        <w:t xml:space="preserve">Atbilstoši piedāvājuma izvēles kritērijam un saskaņā ar Iepirkumu komisijas </w:t>
      </w:r>
      <w:r w:rsidRPr="00DD2A98">
        <w:rPr>
          <w:lang w:val="lv-LV"/>
        </w:rPr>
        <w:t xml:space="preserve">2018. gada </w:t>
      </w:r>
      <w:r>
        <w:rPr>
          <w:lang w:val="lv-LV"/>
        </w:rPr>
        <w:t>8. mart</w:t>
      </w:r>
      <w:r w:rsidRPr="00DD2A98">
        <w:rPr>
          <w:lang w:val="lv-LV"/>
        </w:rPr>
        <w:t>a</w:t>
      </w:r>
      <w:r w:rsidRPr="008B30BE">
        <w:rPr>
          <w:rFonts w:eastAsiaTheme="minorHAnsi"/>
          <w:noProof/>
          <w:color w:val="000000"/>
          <w:lang w:val="lv-LV"/>
        </w:rPr>
        <w:t xml:space="preserve"> Piedāvājumu vērtēšanas protokolu Nr. 201</w:t>
      </w:r>
      <w:r>
        <w:rPr>
          <w:rFonts w:eastAsiaTheme="minorHAnsi"/>
          <w:noProof/>
          <w:color w:val="000000"/>
          <w:lang w:val="lv-LV"/>
        </w:rPr>
        <w:t>8/9/3</w:t>
      </w:r>
      <w:r w:rsidRPr="008B30BE">
        <w:rPr>
          <w:rFonts w:eastAsiaTheme="minorHAnsi"/>
          <w:noProof/>
          <w:color w:val="000000"/>
          <w:lang w:val="lv-LV"/>
        </w:rPr>
        <w:t xml:space="preserve">, </w:t>
      </w:r>
      <w:r w:rsidRPr="008B30BE">
        <w:rPr>
          <w:rFonts w:eastAsiaTheme="minorHAnsi"/>
          <w:noProof/>
          <w:lang w:val="lv-LV"/>
        </w:rPr>
        <w:t>līguma slēgšanas tiesības būtu piešķiramas:</w:t>
      </w:r>
    </w:p>
    <w:p w:rsidR="00380AD2" w:rsidRPr="00A250C8" w:rsidRDefault="00380AD2" w:rsidP="00380AD2">
      <w:pPr>
        <w:ind w:firstLine="709"/>
        <w:jc w:val="both"/>
        <w:rPr>
          <w:bCs/>
          <w:lang w:val="lv-LV"/>
        </w:rPr>
      </w:pPr>
      <w:r>
        <w:rPr>
          <w:bCs/>
          <w:lang w:val="lv-LV"/>
        </w:rPr>
        <w:t>1</w:t>
      </w:r>
      <w:r w:rsidRPr="00A250C8">
        <w:rPr>
          <w:bCs/>
          <w:lang w:val="lv-LV"/>
        </w:rPr>
        <w:t>.</w:t>
      </w:r>
      <w:r>
        <w:rPr>
          <w:bCs/>
          <w:lang w:val="lv-LV"/>
        </w:rPr>
        <w:t xml:space="preserve"> un 6</w:t>
      </w:r>
      <w:r w:rsidRPr="00A250C8">
        <w:rPr>
          <w:bCs/>
          <w:lang w:val="lv-LV"/>
        </w:rPr>
        <w:t>.daļā –</w:t>
      </w:r>
      <w:r w:rsidRPr="008B30BE">
        <w:rPr>
          <w:b/>
          <w:bCs/>
          <w:lang w:val="lv-LV" w:eastAsia="lv-LV"/>
        </w:rPr>
        <w:t xml:space="preserve"> </w:t>
      </w:r>
      <w:r w:rsidRPr="008B30BE">
        <w:rPr>
          <w:bCs/>
          <w:lang w:val="lv-LV" w:eastAsia="lv-LV"/>
        </w:rPr>
        <w:t xml:space="preserve">PS </w:t>
      </w:r>
      <w:r>
        <w:rPr>
          <w:spacing w:val="3"/>
          <w:lang w:val="lv-LV"/>
        </w:rPr>
        <w:t>"</w:t>
      </w:r>
      <w:r w:rsidRPr="008B30BE">
        <w:rPr>
          <w:spacing w:val="3"/>
          <w:lang w:val="lv-LV"/>
        </w:rPr>
        <w:t>VAAB</w:t>
      </w:r>
      <w:r>
        <w:rPr>
          <w:spacing w:val="3"/>
          <w:lang w:val="lv-LV"/>
        </w:rPr>
        <w:t>"</w:t>
      </w:r>
      <w:r w:rsidRPr="008B30BE">
        <w:rPr>
          <w:lang w:val="lv-LV"/>
        </w:rPr>
        <w:t>, reģistrācijas Nr.</w:t>
      </w:r>
      <w:r w:rsidRPr="008B30BE">
        <w:rPr>
          <w:bCs/>
          <w:lang w:val="lv-LV"/>
        </w:rPr>
        <w:t>40103874946</w:t>
      </w:r>
      <w:r w:rsidRPr="008B30BE">
        <w:rPr>
          <w:lang w:val="lv-LV"/>
        </w:rPr>
        <w:t xml:space="preserve">, juridiskā adrese: Brīvības iela 123-2, Ogre, </w:t>
      </w:r>
      <w:r>
        <w:rPr>
          <w:lang w:val="lv-LV"/>
        </w:rPr>
        <w:t xml:space="preserve">Ogres nov., </w:t>
      </w:r>
      <w:r w:rsidRPr="008B30BE">
        <w:rPr>
          <w:lang w:val="lv-LV"/>
        </w:rPr>
        <w:t>LV-5001</w:t>
      </w:r>
      <w:r w:rsidRPr="00A250C8">
        <w:rPr>
          <w:bCs/>
          <w:lang w:val="lv-LV"/>
        </w:rPr>
        <w:t>.</w:t>
      </w:r>
    </w:p>
    <w:p w:rsidR="00380AD2" w:rsidRPr="00A250C8" w:rsidRDefault="00380AD2" w:rsidP="00380AD2">
      <w:pPr>
        <w:ind w:firstLine="709"/>
        <w:jc w:val="both"/>
        <w:rPr>
          <w:bCs/>
          <w:lang w:val="lv-LV"/>
        </w:rPr>
      </w:pPr>
      <w:r>
        <w:rPr>
          <w:bCs/>
          <w:lang w:val="lv-LV"/>
        </w:rPr>
        <w:t>2. un 8</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p>
    <w:p w:rsidR="00380AD2" w:rsidRDefault="00380AD2" w:rsidP="009D1BC2">
      <w:pPr>
        <w:ind w:right="-766"/>
        <w:jc w:val="both"/>
        <w:rPr>
          <w:b/>
          <w:lang w:val="lv-LV"/>
        </w:rPr>
      </w:pP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F45B7B">
      <w:pPr>
        <w:pStyle w:val="NoSpacing"/>
        <w:spacing w:before="120"/>
        <w:jc w:val="both"/>
      </w:pPr>
      <w:r w:rsidRPr="00565544">
        <w:t>"</w:t>
      </w:r>
      <w:r w:rsidR="004506DB" w:rsidRPr="004506DB">
        <w:rPr>
          <w:rFonts w:ascii="Times New Roman" w:hAnsi="Times New Roman" w:cs="Times New Roman"/>
          <w:sz w:val="24"/>
          <w:szCs w:val="24"/>
        </w:rPr>
        <w:t>Par pretendenta piedāvājuma izvēles kritēriju tiek noteikts piedāvājums ar viszemāko nosacīto līgumcenu katrā daļā atsevišķi, kas atbilst nolikumā minētajām prasībām un tehniskajai specifikācijai, ar visām izmaksām, iekļaujot nodokļus un izdevumus, bez pievienotās vērtības nodokļa (turpmāk – PVN).</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4506DB">
        <w:rPr>
          <w:lang w:val="lv-LV"/>
        </w:rPr>
        <w:t>23</w:t>
      </w:r>
      <w:r w:rsidR="00B67C54">
        <w:rPr>
          <w:lang w:val="lv-LV"/>
        </w:rPr>
        <w:t>.</w:t>
      </w:r>
      <w:r w:rsidR="004E51EE">
        <w:rPr>
          <w:lang w:val="lv-LV"/>
        </w:rPr>
        <w:t xml:space="preserve"> februā</w:t>
      </w:r>
      <w:r w:rsidR="00593E6C">
        <w:rPr>
          <w:lang w:val="lv-LV"/>
        </w:rPr>
        <w:t>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4506DB">
        <w:rPr>
          <w:sz w:val="24"/>
        </w:rPr>
        <w:t>23</w:t>
      </w:r>
      <w:r>
        <w:rPr>
          <w:sz w:val="24"/>
        </w:rPr>
        <w:t>.</w:t>
      </w:r>
      <w:r w:rsidR="00565544">
        <w:rPr>
          <w:sz w:val="24"/>
        </w:rPr>
        <w:t xml:space="preserve"> </w:t>
      </w:r>
      <w:r w:rsidR="004E51EE">
        <w:rPr>
          <w:sz w:val="24"/>
        </w:rPr>
        <w:t>februā</w:t>
      </w:r>
      <w:r w:rsidR="00593E6C">
        <w:rPr>
          <w:sz w:val="24"/>
        </w:rPr>
        <w:t>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45B7B" w:rsidRPr="00A50DB2" w:rsidRDefault="00F45B7B" w:rsidP="00F45B7B">
      <w:pPr>
        <w:ind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4506DB">
        <w:rPr>
          <w:rFonts w:eastAsia="Calibri"/>
          <w:noProof/>
          <w:lang w:val="lv-LV"/>
        </w:rPr>
        <w:t>em informāciju par pretendentiem</w:t>
      </w:r>
      <w:r w:rsidRPr="00A50DB2">
        <w:rPr>
          <w:rFonts w:eastAsia="Calibri"/>
          <w:noProof/>
          <w:lang w:val="lv-LV"/>
        </w:rPr>
        <w:t>.</w:t>
      </w:r>
    </w:p>
    <w:p w:rsidR="00F45B7B" w:rsidRPr="00A50DB2" w:rsidRDefault="00F45B7B" w:rsidP="00F45B7B">
      <w:pPr>
        <w:ind w:right="-2" w:firstLine="567"/>
        <w:jc w:val="both"/>
        <w:rPr>
          <w:lang w:val="lv-LV"/>
        </w:rPr>
      </w:pPr>
      <w:r w:rsidRPr="00A50DB2">
        <w:rPr>
          <w:u w:val="single"/>
          <w:lang w:val="lv-LV"/>
        </w:rPr>
        <w:t>Saskaņā ar E-izziņu sistēmas datubāzes saņemto informāciju</w:t>
      </w:r>
      <w:r w:rsidRPr="00A50DB2">
        <w:rPr>
          <w:rFonts w:eastAsia="Calibri"/>
          <w:noProof/>
          <w:lang w:val="lv-LV"/>
        </w:rPr>
        <w:t xml:space="preserve"> </w:t>
      </w:r>
      <w:r w:rsidR="004506DB">
        <w:rPr>
          <w:rFonts w:eastAsia="Calibri"/>
          <w:noProof/>
          <w:lang w:val="lv-LV"/>
        </w:rPr>
        <w:t>pretendentiem</w:t>
      </w:r>
      <w:r w:rsidR="00A01428" w:rsidRPr="00A50DB2">
        <w:rPr>
          <w:rFonts w:eastAsia="Calibri"/>
          <w:noProof/>
          <w:lang w:val="lv-LV"/>
        </w:rPr>
        <w:t xml:space="preserve"> </w:t>
      </w:r>
      <w:r w:rsidR="002A51C7" w:rsidRPr="008B30BE">
        <w:rPr>
          <w:bCs/>
          <w:lang w:val="lv-LV" w:eastAsia="lv-LV"/>
        </w:rPr>
        <w:t xml:space="preserve">PS </w:t>
      </w:r>
      <w:r w:rsidR="002A51C7">
        <w:rPr>
          <w:spacing w:val="3"/>
          <w:lang w:val="lv-LV"/>
        </w:rPr>
        <w:t>"</w:t>
      </w:r>
      <w:r w:rsidR="002A51C7" w:rsidRPr="008B30BE">
        <w:rPr>
          <w:spacing w:val="3"/>
          <w:lang w:val="lv-LV"/>
        </w:rPr>
        <w:t>VAAB</w:t>
      </w:r>
      <w:r w:rsidR="002A51C7">
        <w:rPr>
          <w:spacing w:val="3"/>
          <w:lang w:val="lv-LV"/>
        </w:rPr>
        <w:t>"</w:t>
      </w:r>
      <w:r w:rsidR="002A51C7" w:rsidRPr="008B30BE">
        <w:rPr>
          <w:lang w:val="lv-LV"/>
        </w:rPr>
        <w:t>, reģistrācijas Nr.</w:t>
      </w:r>
      <w:r w:rsidR="002A51C7" w:rsidRPr="008B30BE">
        <w:rPr>
          <w:bCs/>
          <w:lang w:val="lv-LV"/>
        </w:rPr>
        <w:t>40103874946</w:t>
      </w:r>
      <w:r w:rsidR="002A51C7">
        <w:rPr>
          <w:bCs/>
          <w:lang w:val="lv-LV"/>
        </w:rPr>
        <w:t xml:space="preserve">, un </w:t>
      </w:r>
      <w:r w:rsidR="002A51C7">
        <w:rPr>
          <w:lang w:val="lv-LV"/>
        </w:rPr>
        <w:t>SIA "</w:t>
      </w:r>
      <w:r w:rsidR="002A51C7" w:rsidRPr="00D227E5">
        <w:rPr>
          <w:bCs/>
          <w:lang w:val="lv-LV"/>
        </w:rPr>
        <w:t>BD&amp;C</w:t>
      </w:r>
      <w:r w:rsidR="002A51C7">
        <w:rPr>
          <w:lang w:val="lv-LV"/>
        </w:rPr>
        <w:t>"</w:t>
      </w:r>
      <w:r w:rsidR="002A51C7" w:rsidRPr="00D227E5">
        <w:rPr>
          <w:lang w:val="lv-LV"/>
        </w:rPr>
        <w:t>, reģistrācijas Nr.</w:t>
      </w:r>
      <w:r w:rsidR="002A51C7" w:rsidRPr="00D227E5">
        <w:rPr>
          <w:bCs/>
          <w:lang w:val="lv-LV"/>
        </w:rPr>
        <w:t>40103329844</w:t>
      </w:r>
      <w:r w:rsidRPr="00A50DB2">
        <w:rPr>
          <w:lang w:val="lv-LV"/>
        </w:rPr>
        <w:t>:</w:t>
      </w:r>
    </w:p>
    <w:p w:rsidR="00F45B7B" w:rsidRPr="00A50DB2" w:rsidRDefault="00F45B7B" w:rsidP="00F45B7B">
      <w:pPr>
        <w:ind w:right="-1" w:firstLine="709"/>
        <w:jc w:val="both"/>
        <w:rPr>
          <w:rFonts w:eastAsia="Calibri"/>
          <w:lang w:val="lv-LV" w:eastAsia="lv-LV"/>
        </w:rPr>
      </w:pPr>
      <w:r w:rsidRPr="00A50DB2">
        <w:rPr>
          <w:rFonts w:eastAsia="Calibri"/>
          <w:lang w:val="lv-LV" w:eastAsia="lv-LV"/>
        </w:rPr>
        <w:t>– nav nodokļu parādi, tajā skaitā valsts sociālās apdrošināšanas obligāto iemaksu parādi, kas kopsummā pārsniedz 150,00 </w:t>
      </w:r>
      <w:r w:rsidRPr="00A50DB2">
        <w:rPr>
          <w:rFonts w:eastAsia="Calibri"/>
          <w:i/>
          <w:iCs/>
          <w:lang w:val="lv-LV" w:eastAsia="lv-LV"/>
        </w:rPr>
        <w:t xml:space="preserve">euro </w:t>
      </w:r>
      <w:r w:rsidRPr="00A50DB2">
        <w:rPr>
          <w:rFonts w:eastAsia="Calibri"/>
          <w:lang w:val="lv-LV"/>
        </w:rPr>
        <w:t xml:space="preserve">(viens simts piecdesmit </w:t>
      </w:r>
      <w:r w:rsidRPr="00A50DB2">
        <w:rPr>
          <w:rFonts w:eastAsia="Calibri"/>
          <w:i/>
          <w:lang w:val="lv-LV"/>
        </w:rPr>
        <w:t>euro</w:t>
      </w:r>
      <w:r w:rsidRPr="00A50DB2">
        <w:rPr>
          <w:rFonts w:eastAsia="Calibri"/>
          <w:lang w:val="lv-LV"/>
        </w:rPr>
        <w:t xml:space="preserve"> un nulle </w:t>
      </w:r>
      <w:r w:rsidRPr="00A50DB2">
        <w:rPr>
          <w:rFonts w:eastAsia="Calibri"/>
          <w:i/>
          <w:lang w:val="lv-LV"/>
        </w:rPr>
        <w:t xml:space="preserve">euro </w:t>
      </w:r>
      <w:r w:rsidRPr="00A50DB2">
        <w:rPr>
          <w:rFonts w:eastAsia="Calibri"/>
          <w:lang w:val="lv-LV"/>
        </w:rPr>
        <w:t>centi)</w:t>
      </w:r>
      <w:r w:rsidRPr="00A50DB2">
        <w:rPr>
          <w:rFonts w:eastAsia="Calibri"/>
          <w:lang w:val="lv-LV" w:eastAsia="lv-LV"/>
        </w:rPr>
        <w:t>;</w:t>
      </w:r>
    </w:p>
    <w:p w:rsidR="00F45B7B" w:rsidRPr="00A50DB2" w:rsidRDefault="00F45B7B" w:rsidP="00F45B7B">
      <w:pPr>
        <w:ind w:firstLine="709"/>
        <w:rPr>
          <w:rFonts w:eastAsiaTheme="minorHAnsi"/>
          <w:noProof/>
          <w:lang w:val="lv-LV"/>
        </w:rPr>
      </w:pPr>
      <w:r w:rsidRPr="00A50DB2">
        <w:rPr>
          <w:rFonts w:eastAsiaTheme="minorHAnsi"/>
          <w:noProof/>
          <w:lang w:val="lv-LV"/>
        </w:rPr>
        <w:t>– nav pārkāpumu un noziedzīgo nodarījumu;</w:t>
      </w:r>
    </w:p>
    <w:p w:rsidR="00F45B7B" w:rsidRPr="00A50DB2" w:rsidRDefault="00F45B7B" w:rsidP="00F45B7B">
      <w:pPr>
        <w:ind w:right="-1" w:firstLine="709"/>
        <w:jc w:val="both"/>
        <w:rPr>
          <w:lang w:val="lv-LV"/>
        </w:rPr>
      </w:pPr>
      <w:r w:rsidRPr="00A50DB2">
        <w:rPr>
          <w:lang w:val="lv-LV"/>
        </w:rPr>
        <w:t>– nav pasludināts maksātnespējas process, nav apturēta saimnieciskā darbība, nav likvidācijas.</w:t>
      </w:r>
    </w:p>
    <w:p w:rsidR="00593E6C" w:rsidRPr="00FD53CC" w:rsidRDefault="00593E6C" w:rsidP="00FD53CC">
      <w:pPr>
        <w:ind w:right="-667" w:firstLine="567"/>
        <w:jc w:val="both"/>
        <w:rPr>
          <w:lang w:val="lv-LV"/>
        </w:rPr>
      </w:pPr>
    </w:p>
    <w:p w:rsidR="002A51C7" w:rsidRPr="000F215C" w:rsidRDefault="002A51C7" w:rsidP="002A51C7">
      <w:pPr>
        <w:ind w:right="-667" w:firstLine="709"/>
        <w:jc w:val="both"/>
        <w:rPr>
          <w:lang w:val="lv-LV"/>
        </w:rPr>
      </w:pPr>
      <w:r w:rsidRPr="000F215C">
        <w:rPr>
          <w:lang w:val="lv-LV"/>
        </w:rPr>
        <w:t xml:space="preserve">Iepirkuma </w:t>
      </w:r>
      <w:r>
        <w:rPr>
          <w:lang w:val="lv-LV"/>
        </w:rPr>
        <w:t>8</w:t>
      </w:r>
      <w:r w:rsidRPr="000F215C">
        <w:rPr>
          <w:lang w:val="lv-LV"/>
        </w:rPr>
        <w:t>.daļā ir viens pretendenta piedāvājums.</w:t>
      </w:r>
    </w:p>
    <w:p w:rsidR="00FB7E03" w:rsidRPr="000F215C" w:rsidRDefault="00FB7E03" w:rsidP="00FB7E03">
      <w:pPr>
        <w:ind w:firstLine="709"/>
        <w:jc w:val="both"/>
        <w:rPr>
          <w:rFonts w:eastAsiaTheme="minorHAnsi"/>
          <w:lang w:val="lv-LV" w:eastAsia="lv-LV"/>
        </w:rPr>
      </w:pPr>
      <w:r w:rsidRPr="000F215C">
        <w:rPr>
          <w:rFonts w:eastAsiaTheme="minorHAnsi"/>
          <w:lang w:val="lv-LV" w:eastAsia="lv-LV"/>
        </w:rPr>
        <w:t>Saskaņā ar Ministru kabineta noteikumu Nr.107 "Iepirkuma procedūru un metu konkursu norises kārtība" 19.punktu</w:t>
      </w:r>
      <w:r>
        <w:rPr>
          <w:rFonts w:eastAsiaTheme="minorHAnsi"/>
          <w:lang w:val="lv-LV" w:eastAsia="lv-LV"/>
        </w:rPr>
        <w:t>,</w:t>
      </w:r>
      <w:r w:rsidRPr="000F215C">
        <w:rPr>
          <w:rFonts w:eastAsiaTheme="minorHAnsi"/>
          <w:lang w:val="lv-LV" w:eastAsia="lv-LV"/>
        </w:rPr>
        <w:t xml:space="preserve"> </w:t>
      </w:r>
      <w:r>
        <w:rPr>
          <w:rFonts w:eastAsiaTheme="minorHAnsi"/>
          <w:lang w:val="lv-LV" w:eastAsia="lv-LV"/>
        </w:rPr>
        <w:t>j</w:t>
      </w:r>
      <w:r w:rsidRPr="00866174">
        <w:rPr>
          <w:rFonts w:eastAsiaTheme="minorHAnsi"/>
          <w:lang w:val="lv-LV" w:eastAsia="lv-LV"/>
        </w:rPr>
        <w:t>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r w:rsidRPr="000F215C">
        <w:rPr>
          <w:rFonts w:eastAsiaTheme="minorHAnsi"/>
          <w:lang w:val="lv-LV" w:eastAsia="lv-LV"/>
        </w:rPr>
        <w:t>.</w:t>
      </w:r>
    </w:p>
    <w:p w:rsidR="00FB7E03" w:rsidRPr="000F215C" w:rsidRDefault="00FB7E03" w:rsidP="00FB7E03">
      <w:pPr>
        <w:ind w:firstLine="709"/>
        <w:jc w:val="both"/>
        <w:rPr>
          <w:rFonts w:eastAsiaTheme="minorHAnsi"/>
          <w:lang w:val="lv-LV" w:eastAsia="lv-LV"/>
        </w:rPr>
      </w:pPr>
      <w:r w:rsidRPr="000F215C">
        <w:rPr>
          <w:rFonts w:eastAsiaTheme="minorHAnsi"/>
          <w:lang w:val="lv-LV" w:eastAsia="lv-LV"/>
        </w:rPr>
        <w:t>Latvijā ir da</w:t>
      </w:r>
      <w:r>
        <w:rPr>
          <w:rFonts w:eastAsiaTheme="minorHAnsi"/>
          <w:lang w:val="lv-LV" w:eastAsia="lv-LV"/>
        </w:rPr>
        <w:t>udz uzņēmumu, kas nodarbojas ar būvniecību</w:t>
      </w:r>
      <w:r w:rsidRPr="000F215C">
        <w:rPr>
          <w:rFonts w:eastAsiaTheme="minorHAnsi"/>
          <w:lang w:val="lv-LV" w:eastAsia="lv-LV"/>
        </w:rPr>
        <w:t>, vienlaikus nodrošinot pakalpojuma sniegša</w:t>
      </w:r>
      <w:r>
        <w:rPr>
          <w:rFonts w:eastAsiaTheme="minorHAnsi"/>
          <w:lang w:val="lv-LV" w:eastAsia="lv-LV"/>
        </w:rPr>
        <w:t>nu klientam</w:t>
      </w:r>
      <w:r w:rsidRPr="000F215C">
        <w:rPr>
          <w:rFonts w:eastAsiaTheme="minorHAnsi"/>
          <w:lang w:val="lv-LV" w:eastAsia="lv-LV"/>
        </w:rPr>
        <w:t>, piemēram, tie paši pretendenti, kas iesniedza piedāvāju</w:t>
      </w:r>
      <w:r>
        <w:rPr>
          <w:rFonts w:eastAsiaTheme="minorHAnsi"/>
          <w:lang w:val="lv-LV" w:eastAsia="lv-LV"/>
        </w:rPr>
        <w:t xml:space="preserve">mu pārējās šā Iepirkuma daļās: </w:t>
      </w:r>
      <w:r w:rsidRPr="000F215C">
        <w:rPr>
          <w:rFonts w:eastAsiaTheme="minorHAnsi"/>
          <w:lang w:val="lv-LV" w:eastAsia="lv-LV"/>
        </w:rPr>
        <w:t>S</w:t>
      </w:r>
      <w:r>
        <w:rPr>
          <w:rFonts w:eastAsiaTheme="minorHAnsi"/>
          <w:lang w:val="lv-LV" w:eastAsia="lv-LV"/>
        </w:rPr>
        <w:t xml:space="preserve">IA "Rapit K", SIA "Latbūvnieks", SIA "MARELS BŪVE", </w:t>
      </w:r>
      <w:r w:rsidRPr="00CE1E35">
        <w:rPr>
          <w:bCs/>
          <w:lang w:val="lv-LV" w:eastAsia="lv-LV"/>
        </w:rPr>
        <w:t xml:space="preserve">PS </w:t>
      </w:r>
      <w:r>
        <w:rPr>
          <w:bCs/>
          <w:lang w:val="lv-LV" w:eastAsia="lv-LV"/>
        </w:rPr>
        <w:t>"BŪVSABIEDRĪBA OTA UN PARTNERI"</w:t>
      </w:r>
      <w:r>
        <w:rPr>
          <w:rFonts w:eastAsiaTheme="minorHAnsi"/>
          <w:lang w:val="lv-LV" w:eastAsia="lv-LV"/>
        </w:rPr>
        <w:t xml:space="preserve"> u.c.</w:t>
      </w:r>
    </w:p>
    <w:p w:rsidR="00FB7E03" w:rsidRPr="000F215C" w:rsidRDefault="00FB7E03" w:rsidP="00FB7E03">
      <w:pPr>
        <w:ind w:firstLine="709"/>
        <w:jc w:val="both"/>
        <w:rPr>
          <w:rFonts w:eastAsiaTheme="minorHAnsi"/>
          <w:lang w:val="lv-LV" w:eastAsia="lv-LV"/>
        </w:rPr>
      </w:pPr>
      <w:r>
        <w:rPr>
          <w:rFonts w:eastAsiaTheme="minorHAnsi"/>
          <w:lang w:val="lv-LV" w:eastAsia="lv-LV"/>
        </w:rPr>
        <w:t>Tādējādi Iepirkumu komisija</w:t>
      </w:r>
      <w:r w:rsidRPr="000F215C">
        <w:rPr>
          <w:rFonts w:eastAsiaTheme="minorHAnsi"/>
          <w:lang w:val="lv-LV" w:eastAsia="lv-LV"/>
        </w:rPr>
        <w:t xml:space="preserve"> konstatē, ka konkrētajā tirgū ir daudz citu uzņēm</w:t>
      </w:r>
      <w:r>
        <w:rPr>
          <w:rFonts w:eastAsiaTheme="minorHAnsi"/>
          <w:lang w:val="lv-LV" w:eastAsia="lv-LV"/>
        </w:rPr>
        <w:t>umu (firmas), kas nodarbojas ar būvniecību</w:t>
      </w:r>
      <w:r w:rsidRPr="000F215C">
        <w:rPr>
          <w:rFonts w:eastAsiaTheme="minorHAnsi"/>
          <w:lang w:val="lv-LV" w:eastAsia="lv-LV"/>
        </w:rPr>
        <w:t xml:space="preserve"> un varētu atbilst atklāta konkursa noteiktajām pretendentu atlases prasībām, kuri nav pieteikušies ar atlases prasībām nesaistītu iemeslu dēļ.</w:t>
      </w:r>
    </w:p>
    <w:p w:rsidR="00FB7E03" w:rsidRPr="000F215C" w:rsidRDefault="00FB7E03" w:rsidP="00FB7E03">
      <w:pPr>
        <w:ind w:firstLine="709"/>
        <w:jc w:val="both"/>
        <w:rPr>
          <w:rFonts w:eastAsiaTheme="minorHAnsi"/>
          <w:lang w:val="lv-LV" w:eastAsia="lv-LV"/>
        </w:rPr>
      </w:pPr>
      <w:r w:rsidRPr="000F215C">
        <w:rPr>
          <w:rFonts w:eastAsiaTheme="minorHAnsi"/>
          <w:lang w:val="lv-LV" w:eastAsia="lv-LV"/>
        </w:rPr>
        <w:t xml:space="preserve">Saskaņā ar Iepirkuma uzraudzības biroja skaidrojumu, </w:t>
      </w:r>
      <w:r>
        <w:rPr>
          <w:rFonts w:eastAsiaTheme="minorHAnsi"/>
          <w:lang w:val="lv-LV" w:eastAsia="lv-LV"/>
        </w:rPr>
        <w:t>p</w:t>
      </w:r>
      <w:r w:rsidRPr="000F215C">
        <w:rPr>
          <w:rFonts w:eastAsiaTheme="minorHAnsi"/>
          <w:lang w:val="lv-LV" w:eastAsia="lv-LV"/>
        </w:rPr>
        <w:t>asūtītājs var nepārtraukt iepirkumu gadījumā, ja pretendentu atlases prasības ir objektīvas un samērīgas.</w:t>
      </w:r>
    </w:p>
    <w:p w:rsidR="00FB7E03" w:rsidRPr="000F215C" w:rsidRDefault="00FB7E03" w:rsidP="00FB7E03">
      <w:pPr>
        <w:ind w:firstLine="709"/>
        <w:jc w:val="both"/>
        <w:rPr>
          <w:rFonts w:eastAsiaTheme="minorHAnsi"/>
          <w:lang w:val="lv-LV" w:eastAsia="lv-LV"/>
        </w:rPr>
      </w:pPr>
      <w:r w:rsidRPr="000F215C">
        <w:rPr>
          <w:rFonts w:eastAsiaTheme="minorHAnsi"/>
          <w:lang w:val="lv-LV" w:eastAsia="lv-LV"/>
        </w:rPr>
        <w:t>Nolikumā ir ietvertas tikai minimā</w:t>
      </w:r>
      <w:r>
        <w:rPr>
          <w:rFonts w:eastAsiaTheme="minorHAnsi"/>
          <w:lang w:val="lv-LV" w:eastAsia="lv-LV"/>
        </w:rPr>
        <w:t>lās Likuma 42. pantā noteiktās p</w:t>
      </w:r>
      <w:r w:rsidRPr="000F215C">
        <w:rPr>
          <w:rFonts w:eastAsiaTheme="minorHAnsi"/>
          <w:lang w:val="lv-LV" w:eastAsia="lv-LV"/>
        </w:rPr>
        <w:t xml:space="preserve">retendenta kvalifikācijas prasības, kas ievērojot </w:t>
      </w:r>
      <w:r>
        <w:rPr>
          <w:rFonts w:eastAsiaTheme="minorHAnsi"/>
          <w:lang w:val="lv-LV" w:eastAsia="lv-LV"/>
        </w:rPr>
        <w:t>L</w:t>
      </w:r>
      <w:r w:rsidRPr="000F215C">
        <w:rPr>
          <w:rFonts w:eastAsiaTheme="minorHAnsi"/>
          <w:lang w:val="lv-LV" w:eastAsia="lv-LV"/>
        </w:rPr>
        <w:t>ikum</w:t>
      </w:r>
      <w:r>
        <w:rPr>
          <w:rFonts w:eastAsiaTheme="minorHAnsi"/>
          <w:lang w:val="lv-LV" w:eastAsia="lv-LV"/>
        </w:rPr>
        <w:t>a regulējumu, jāizpilda visiem p</w:t>
      </w:r>
      <w:r w:rsidRPr="000F215C">
        <w:rPr>
          <w:rFonts w:eastAsiaTheme="minorHAnsi"/>
          <w:lang w:val="lv-LV" w:eastAsia="lv-LV"/>
        </w:rPr>
        <w:t>retendentiem.</w:t>
      </w:r>
    </w:p>
    <w:p w:rsidR="002A51C7" w:rsidRDefault="00FB7E03" w:rsidP="00FB7E03">
      <w:pPr>
        <w:jc w:val="both"/>
        <w:rPr>
          <w:b/>
          <w:lang w:val="lv-LV"/>
        </w:rPr>
      </w:pPr>
      <w:r w:rsidRPr="000F215C">
        <w:rPr>
          <w:lang w:val="lv-LV"/>
        </w:rPr>
        <w:t xml:space="preserve">Ņemot vērā to, ka Nolikumā izvirzītās prasības pretendentiem ir objektīvas un samērīgas, proti, Nolikumā ir iekļautas Likumā noteiktās minimālās prasības, kas objektīvi nepieciešamas </w:t>
      </w:r>
      <w:r>
        <w:rPr>
          <w:lang w:val="lv-LV"/>
        </w:rPr>
        <w:t>I</w:t>
      </w:r>
      <w:r w:rsidRPr="000F215C">
        <w:rPr>
          <w:lang w:val="lv-LV"/>
        </w:rPr>
        <w:t xml:space="preserve">epirkuma līguma izpildei un kuras </w:t>
      </w:r>
      <w:r>
        <w:rPr>
          <w:lang w:val="lv-LV"/>
        </w:rPr>
        <w:t>p</w:t>
      </w:r>
      <w:r w:rsidRPr="000F215C">
        <w:rPr>
          <w:lang w:val="lv-LV"/>
        </w:rPr>
        <w:t xml:space="preserve">asūtītājs nevar neiekļaut, Iepirkumu komisija </w:t>
      </w:r>
      <w:r w:rsidRPr="00866174">
        <w:rPr>
          <w:b/>
          <w:lang w:val="lv-LV"/>
        </w:rPr>
        <w:t>nolēma:</w:t>
      </w:r>
    </w:p>
    <w:p w:rsidR="00FB7E03" w:rsidRPr="00DA38CC" w:rsidRDefault="00FB7E03" w:rsidP="00FB7E03">
      <w:pPr>
        <w:jc w:val="both"/>
        <w:rPr>
          <w:rFonts w:eastAsiaTheme="minorHAnsi"/>
          <w:noProof/>
          <w:lang w:val="lv-LV"/>
        </w:rPr>
      </w:pPr>
    </w:p>
    <w:p w:rsidR="002A51C7" w:rsidRDefault="002A51C7" w:rsidP="002A51C7">
      <w:pPr>
        <w:ind w:firstLine="709"/>
        <w:jc w:val="both"/>
        <w:rPr>
          <w:rFonts w:eastAsia="Calibri"/>
          <w:bCs/>
          <w:lang w:val="lv-LV"/>
        </w:rPr>
      </w:pP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Pr>
          <w:lang w:val="lv-LV"/>
        </w:rPr>
        <w:t>:</w:t>
      </w:r>
    </w:p>
    <w:p w:rsidR="002A51C7" w:rsidRPr="00A250C8" w:rsidRDefault="002A51C7" w:rsidP="002A51C7">
      <w:pPr>
        <w:ind w:firstLine="709"/>
        <w:jc w:val="both"/>
        <w:rPr>
          <w:bCs/>
          <w:lang w:val="lv-LV"/>
        </w:rPr>
      </w:pPr>
      <w:r>
        <w:rPr>
          <w:bCs/>
          <w:lang w:val="lv-LV"/>
        </w:rPr>
        <w:t>1</w:t>
      </w:r>
      <w:r w:rsidRPr="00A250C8">
        <w:rPr>
          <w:bCs/>
          <w:lang w:val="lv-LV"/>
        </w:rPr>
        <w:t>.</w:t>
      </w:r>
      <w:r>
        <w:rPr>
          <w:bCs/>
          <w:lang w:val="lv-LV"/>
        </w:rPr>
        <w:t xml:space="preserve"> un 6</w:t>
      </w:r>
      <w:r w:rsidRPr="00A250C8">
        <w:rPr>
          <w:bCs/>
          <w:lang w:val="lv-LV"/>
        </w:rPr>
        <w:t>.daļā –</w:t>
      </w:r>
      <w:r w:rsidRPr="008B30BE">
        <w:rPr>
          <w:b/>
          <w:bCs/>
          <w:lang w:val="lv-LV" w:eastAsia="lv-LV"/>
        </w:rPr>
        <w:t xml:space="preserve"> </w:t>
      </w:r>
      <w:r w:rsidRPr="008B30BE">
        <w:rPr>
          <w:bCs/>
          <w:lang w:val="lv-LV" w:eastAsia="lv-LV"/>
        </w:rPr>
        <w:t xml:space="preserve">PS </w:t>
      </w:r>
      <w:r>
        <w:rPr>
          <w:spacing w:val="3"/>
          <w:lang w:val="lv-LV"/>
        </w:rPr>
        <w:t>"</w:t>
      </w:r>
      <w:r w:rsidRPr="008B30BE">
        <w:rPr>
          <w:spacing w:val="3"/>
          <w:lang w:val="lv-LV"/>
        </w:rPr>
        <w:t>VAAB</w:t>
      </w:r>
      <w:r>
        <w:rPr>
          <w:spacing w:val="3"/>
          <w:lang w:val="lv-LV"/>
        </w:rPr>
        <w:t>"</w:t>
      </w:r>
      <w:r w:rsidRPr="008B30BE">
        <w:rPr>
          <w:lang w:val="lv-LV"/>
        </w:rPr>
        <w:t>, reģistrācijas Nr.</w:t>
      </w:r>
      <w:r w:rsidRPr="008B30BE">
        <w:rPr>
          <w:bCs/>
          <w:lang w:val="lv-LV"/>
        </w:rPr>
        <w:t>40103874946</w:t>
      </w:r>
      <w:r w:rsidRPr="008B30BE">
        <w:rPr>
          <w:lang w:val="lv-LV"/>
        </w:rPr>
        <w:t xml:space="preserve">, juridiskā adrese: Brīvības iela 123-2, Ogre, </w:t>
      </w:r>
      <w:r>
        <w:rPr>
          <w:lang w:val="lv-LV"/>
        </w:rPr>
        <w:t xml:space="preserve">Ogres nov., </w:t>
      </w:r>
      <w:r w:rsidRPr="008B30BE">
        <w:rPr>
          <w:lang w:val="lv-LV"/>
        </w:rPr>
        <w:t>LV-5001</w:t>
      </w:r>
      <w:r w:rsidRPr="00A250C8">
        <w:rPr>
          <w:bCs/>
          <w:lang w:val="lv-LV"/>
        </w:rPr>
        <w:t>.</w:t>
      </w:r>
    </w:p>
    <w:p w:rsidR="002A51C7" w:rsidRPr="00D227E5" w:rsidRDefault="002A51C7" w:rsidP="002A51C7">
      <w:pPr>
        <w:ind w:firstLine="709"/>
        <w:jc w:val="both"/>
        <w:rPr>
          <w:bCs/>
          <w:lang w:val="lv-LV"/>
        </w:rPr>
      </w:pPr>
      <w:r>
        <w:rPr>
          <w:bCs/>
          <w:lang w:val="lv-LV"/>
        </w:rPr>
        <w:t>2. un 8</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p>
    <w:p w:rsidR="002A51C7" w:rsidRPr="000B15C9" w:rsidRDefault="002A51C7" w:rsidP="002A51C7">
      <w:pPr>
        <w:ind w:firstLine="709"/>
        <w:jc w:val="both"/>
        <w:rPr>
          <w:rFonts w:eastAsiaTheme="minorHAnsi"/>
          <w:noProof/>
          <w:lang w:val="lv-LV"/>
        </w:rPr>
      </w:pPr>
      <w:r>
        <w:rPr>
          <w:rFonts w:eastAsia="Calibri"/>
          <w:noProof/>
          <w:color w:val="000000"/>
          <w:lang w:val="lv-LV"/>
        </w:rPr>
        <w:t>2</w:t>
      </w:r>
      <w:r w:rsidRPr="000B15C9">
        <w:rPr>
          <w:rFonts w:eastAsia="Calibri"/>
          <w:noProof/>
          <w:color w:val="000000"/>
          <w:lang w:val="lv-LV"/>
        </w:rPr>
        <w:t xml:space="preserve">. </w:t>
      </w:r>
      <w:r w:rsidRPr="000B15C9">
        <w:rPr>
          <w:rFonts w:eastAsiaTheme="minorHAnsi"/>
          <w:noProof/>
          <w:lang w:val="lv-LV"/>
        </w:rPr>
        <w:t>Saskaņā ar Likuma 37.</w:t>
      </w:r>
      <w:r>
        <w:rPr>
          <w:rFonts w:eastAsiaTheme="minorHAnsi"/>
          <w:noProof/>
          <w:lang w:val="lv-LV"/>
        </w:rPr>
        <w:t xml:space="preserve"> </w:t>
      </w:r>
      <w:r w:rsidRPr="000B15C9">
        <w:rPr>
          <w:rFonts w:eastAsiaTheme="minorHAnsi"/>
          <w:noProof/>
          <w:lang w:val="lv-LV"/>
        </w:rPr>
        <w:t>panta otrās un trešās daļas nosacījumiem, informēt visus pretendentus par Iepirkumu komisijas lēmuma 1.punktā norādīto triju darbdienu laikā pēc Iepirkumu komisijas lēmuma pieņemšanas.</w:t>
      </w:r>
    </w:p>
    <w:p w:rsidR="002A51C7" w:rsidRPr="000B15C9" w:rsidRDefault="002A51C7" w:rsidP="002A51C7">
      <w:pPr>
        <w:ind w:firstLine="709"/>
        <w:jc w:val="both"/>
        <w:rPr>
          <w:rFonts w:eastAsiaTheme="minorHAnsi"/>
          <w:noProof/>
          <w:lang w:val="lv-LV"/>
        </w:rPr>
      </w:pPr>
      <w:r>
        <w:rPr>
          <w:rFonts w:eastAsiaTheme="minorHAnsi"/>
          <w:noProof/>
          <w:lang w:val="lv-LV"/>
        </w:rPr>
        <w:t>3</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Pr>
          <w:rFonts w:eastAsiaTheme="minorHAnsi"/>
          <w:bCs/>
          <w:noProof/>
          <w:lang w:val="lv-LV" w:eastAsia="lv-LV"/>
        </w:rPr>
        <w:t>jas lēmuma 1.punktā norādītajiem pretendentiem</w:t>
      </w:r>
      <w:r w:rsidRPr="000B15C9">
        <w:rPr>
          <w:rFonts w:eastAsiaTheme="minorHAnsi"/>
          <w:noProof/>
          <w:lang w:val="lv-LV"/>
        </w:rPr>
        <w:t>.</w:t>
      </w:r>
    </w:p>
    <w:p w:rsidR="002A51C7" w:rsidRPr="000B15C9" w:rsidRDefault="002A51C7" w:rsidP="002A51C7">
      <w:pPr>
        <w:tabs>
          <w:tab w:val="num" w:pos="0"/>
          <w:tab w:val="left" w:pos="851"/>
        </w:tabs>
        <w:ind w:right="49" w:firstLine="709"/>
        <w:jc w:val="both"/>
        <w:rPr>
          <w:lang w:val="lv-LV"/>
        </w:rPr>
      </w:pPr>
      <w:r>
        <w:rPr>
          <w:rFonts w:eastAsiaTheme="minorHAnsi"/>
          <w:noProof/>
          <w:lang w:val="lv-LV"/>
        </w:rPr>
        <w:t>4</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54C" w:rsidRDefault="00FE054C" w:rsidP="00B67C54">
      <w:r>
        <w:separator/>
      </w:r>
    </w:p>
  </w:endnote>
  <w:endnote w:type="continuationSeparator" w:id="0">
    <w:p w:rsidR="00FE054C" w:rsidRDefault="00FE054C"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54C" w:rsidRDefault="00FE054C" w:rsidP="00B67C54">
      <w:r>
        <w:separator/>
      </w:r>
    </w:p>
  </w:footnote>
  <w:footnote w:type="continuationSeparator" w:id="0">
    <w:p w:rsidR="00FE054C" w:rsidRDefault="00FE054C"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685E21">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82740"/>
    <w:rsid w:val="00190784"/>
    <w:rsid w:val="001B11BB"/>
    <w:rsid w:val="001C1116"/>
    <w:rsid w:val="001C6806"/>
    <w:rsid w:val="001E714E"/>
    <w:rsid w:val="001F1216"/>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A51C7"/>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51EAE"/>
    <w:rsid w:val="003678A1"/>
    <w:rsid w:val="00380AD2"/>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D378B"/>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85E2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26699"/>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84174"/>
    <w:rsid w:val="00D90382"/>
    <w:rsid w:val="00DA6035"/>
    <w:rsid w:val="00DA6BC2"/>
    <w:rsid w:val="00DB792D"/>
    <w:rsid w:val="00DC7E39"/>
    <w:rsid w:val="00DE0CC0"/>
    <w:rsid w:val="00DF292B"/>
    <w:rsid w:val="00DF4A0C"/>
    <w:rsid w:val="00E056F3"/>
    <w:rsid w:val="00E05DB6"/>
    <w:rsid w:val="00E1106E"/>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B7E03"/>
    <w:rsid w:val="00FC1CAB"/>
    <w:rsid w:val="00FD20DD"/>
    <w:rsid w:val="00FD4B5A"/>
    <w:rsid w:val="00FD53CC"/>
    <w:rsid w:val="00FD7853"/>
    <w:rsid w:val="00FE05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4E8AB-DD3A-4157-81E2-5C332DCF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9670</Words>
  <Characters>5513</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5</cp:revision>
  <cp:lastPrinted>2018-02-08T07:56:00Z</cp:lastPrinted>
  <dcterms:created xsi:type="dcterms:W3CDTF">2018-03-28T12:31:00Z</dcterms:created>
  <dcterms:modified xsi:type="dcterms:W3CDTF">2018-03-29T06:53:00Z</dcterms:modified>
</cp:coreProperties>
</file>